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7201CB">
      <w:pPr>
        <w:jc w:val="center"/>
        <w:rPr>
          <w:rFonts w:hint="eastAsia" w:asciiTheme="minorEastAsia" w:hAnsiTheme="minorEastAsia" w:eastAsiaTheme="minorEastAsia"/>
          <w:b/>
          <w:spacing w:val="0"/>
          <w:sz w:val="32"/>
          <w:szCs w:val="32"/>
          <w:lang w:val="en-US" w:eastAsia="zh-CN"/>
        </w:rPr>
      </w:pPr>
      <w:r>
        <w:rPr>
          <w:rFonts w:hint="eastAsia" w:asciiTheme="minorEastAsia" w:hAnsiTheme="minorEastAsia" w:eastAsiaTheme="minorEastAsia"/>
          <w:b/>
          <w:spacing w:val="0"/>
          <w:sz w:val="32"/>
          <w:szCs w:val="32"/>
          <w:lang w:val="en-US" w:eastAsia="zh-CN"/>
        </w:rPr>
        <w:t>启东市自来水厂有限公司远传水表2025-2026年度采购项目</w:t>
      </w:r>
    </w:p>
    <w:p w14:paraId="180F08C4">
      <w:pPr>
        <w:jc w:val="center"/>
        <w:rPr>
          <w:rFonts w:hint="eastAsia" w:asciiTheme="minorEastAsia" w:hAnsiTheme="minorEastAsia" w:eastAsiaTheme="minorEastAsia"/>
          <w:b/>
          <w:spacing w:val="0"/>
          <w:sz w:val="32"/>
          <w:szCs w:val="32"/>
          <w:lang w:val="en-US" w:eastAsia="zh-CN"/>
        </w:rPr>
      </w:pPr>
      <w:r>
        <w:rPr>
          <w:rFonts w:hint="eastAsia" w:asciiTheme="minorEastAsia" w:hAnsiTheme="minorEastAsia" w:eastAsiaTheme="minorEastAsia"/>
          <w:b/>
          <w:spacing w:val="0"/>
          <w:sz w:val="32"/>
          <w:szCs w:val="32"/>
          <w:lang w:val="en-US" w:eastAsia="zh-CN"/>
        </w:rPr>
        <w:t>市场询价公告</w:t>
      </w:r>
    </w:p>
    <w:p w14:paraId="5ACD4742">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Fonts w:hint="eastAsia" w:ascii="宋体" w:hAnsi="宋体" w:eastAsia="宋体"/>
          <w:sz w:val="24"/>
          <w:szCs w:val="24"/>
          <w:lang w:val="en-US" w:eastAsia="zh-CN"/>
        </w:rPr>
      </w:pPr>
      <w:r>
        <w:rPr>
          <w:rFonts w:hint="eastAsia" w:ascii="宋体" w:hAnsi="宋体" w:eastAsia="宋体"/>
          <w:sz w:val="24"/>
          <w:szCs w:val="24"/>
          <w:lang w:val="en-US" w:eastAsia="zh-CN"/>
        </w:rPr>
        <w:t>启东市自来水厂有限公司的启东市自来水厂有限公司远传水表2025-2026年度采购项目即将实施，现就该项目进行市场询价调研。</w:t>
      </w:r>
    </w:p>
    <w:p w14:paraId="4F220DD7">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2" w:firstLineChars="200"/>
        <w:textAlignment w:val="auto"/>
        <w:rPr>
          <w:rFonts w:hint="default" w:ascii="宋体" w:hAnsi="宋体" w:eastAsia="宋体" w:cs="宋体"/>
          <w:b/>
          <w:bCs/>
          <w:sz w:val="24"/>
          <w:szCs w:val="24"/>
          <w:lang w:val="en-US" w:eastAsia="zh-CN"/>
        </w:rPr>
      </w:pPr>
      <w:r>
        <w:rPr>
          <w:rFonts w:hint="eastAsia" w:ascii="宋体" w:hAnsi="宋体" w:eastAsia="宋体" w:cs="宋体"/>
          <w:b/>
          <w:bCs/>
          <w:sz w:val="24"/>
          <w:szCs w:val="24"/>
          <w:lang w:val="en-US" w:eastAsia="zh-CN"/>
        </w:rPr>
        <w:t>一、采购需求：详见附件《启东市自来水厂有限公司远传水表2025-2026年度采购项目市场询价表》。</w:t>
      </w:r>
    </w:p>
    <w:p w14:paraId="61316EBE">
      <w:pPr>
        <w:pStyle w:val="16"/>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440" w:lineRule="exact"/>
        <w:ind w:right="0" w:rightChars="0" w:firstLine="482" w:firstLineChars="200"/>
        <w:jc w:val="both"/>
        <w:textAlignment w:val="auto"/>
        <w:rPr>
          <w:rFonts w:hint="eastAsia" w:ascii="宋体" w:hAnsi="宋体" w:eastAsia="宋体" w:cs="宋体"/>
          <w:b/>
          <w:bCs/>
          <w:color w:val="000000"/>
          <w:sz w:val="24"/>
          <w:szCs w:val="24"/>
        </w:rPr>
      </w:pPr>
      <w:r>
        <w:rPr>
          <w:rFonts w:hint="eastAsia" w:cs="宋体"/>
          <w:b/>
          <w:bCs/>
          <w:color w:val="000000"/>
          <w:sz w:val="24"/>
          <w:szCs w:val="24"/>
          <w:lang w:val="en-US" w:eastAsia="zh-CN"/>
        </w:rPr>
        <w:t>二、</w:t>
      </w:r>
      <w:r>
        <w:rPr>
          <w:rFonts w:hint="eastAsia" w:ascii="宋体" w:hAnsi="宋体" w:eastAsia="宋体" w:cs="宋体"/>
          <w:b/>
          <w:bCs/>
          <w:color w:val="000000"/>
          <w:sz w:val="24"/>
          <w:szCs w:val="24"/>
        </w:rPr>
        <w:t>约定事项</w:t>
      </w:r>
    </w:p>
    <w:p w14:paraId="3B0E1001">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.供货周期要求：</w:t>
      </w:r>
      <w:r>
        <w:rPr>
          <w:rFonts w:hint="eastAsia" w:ascii="宋体" w:hAnsi="宋体" w:eastAsia="宋体" w:cs="宋体"/>
          <w:color w:val="auto"/>
          <w:sz w:val="24"/>
          <w:szCs w:val="24"/>
          <w:highlight w:val="none"/>
          <w:lang w:val="en-US" w:eastAsia="zh-CN"/>
        </w:rPr>
        <w:t>1年。</w:t>
      </w:r>
    </w:p>
    <w:p w14:paraId="0DE269AA">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供货商应根据采购人通知要求的时间、批次及时供货，不得影响供货进度。若供货方不能按规定的时间供货的，在采购方同意供货方延期交货时，每逾期一天，供货方应按该批采购标的额的万分之四向采购方支付滞纳金，逾期超过15天或在供货期内逾期交货次数累计超过2次的，采购方有权终止本合同，并没收全额履约保证金，并有权要求供货方承担合同价的15%作为违约金</w:t>
      </w:r>
      <w:r>
        <w:rPr>
          <w:rFonts w:hint="eastAsia" w:ascii="宋体" w:hAnsi="宋体" w:eastAsia="宋体" w:cs="宋体"/>
          <w:color w:val="auto"/>
          <w:sz w:val="24"/>
          <w:szCs w:val="24"/>
          <w:highlight w:val="none"/>
        </w:rPr>
        <w:t>。</w:t>
      </w:r>
    </w:p>
    <w:p w14:paraId="1CA7E693">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Style w:val="32"/>
          <w:rFonts w:hint="default" w:ascii="宋体" w:hAnsi="宋体" w:eastAsia="宋体" w:cs="宋体"/>
          <w:color w:val="auto"/>
          <w:kern w:val="0"/>
          <w:sz w:val="24"/>
          <w:szCs w:val="24"/>
          <w:highlight w:val="none"/>
          <w:lang w:val="en-US" w:eastAsia="zh-CN"/>
        </w:rPr>
      </w:pPr>
      <w:r>
        <w:rPr>
          <w:rStyle w:val="32"/>
          <w:rFonts w:hint="eastAsia" w:ascii="宋体" w:hAnsi="宋体" w:eastAsia="宋体" w:cs="宋体"/>
          <w:kern w:val="0"/>
          <w:sz w:val="24"/>
          <w:szCs w:val="24"/>
          <w:highlight w:val="none"/>
          <w:lang w:val="en-US" w:eastAsia="zh-CN"/>
        </w:rPr>
        <w:t>2</w:t>
      </w:r>
      <w:r>
        <w:rPr>
          <w:rStyle w:val="32"/>
          <w:rFonts w:hint="eastAsia" w:ascii="宋体" w:hAnsi="宋体" w:eastAsia="宋体" w:cs="宋体"/>
          <w:kern w:val="0"/>
          <w:sz w:val="24"/>
          <w:szCs w:val="24"/>
          <w:highlight w:val="none"/>
        </w:rPr>
        <w:t>.</w:t>
      </w:r>
      <w:r>
        <w:rPr>
          <w:rStyle w:val="32"/>
          <w:rFonts w:hint="eastAsia" w:ascii="宋体" w:hAnsi="宋体" w:eastAsia="宋体" w:cs="宋体"/>
          <w:kern w:val="0"/>
          <w:sz w:val="24"/>
          <w:szCs w:val="24"/>
          <w:highlight w:val="none"/>
          <w:lang w:val="en-US" w:eastAsia="zh-CN"/>
        </w:rPr>
        <w:t>质保要求</w:t>
      </w:r>
      <w:r>
        <w:rPr>
          <w:rStyle w:val="32"/>
          <w:rFonts w:hint="eastAsia" w:ascii="宋体" w:hAnsi="宋体" w:eastAsia="宋体" w:cs="宋体"/>
          <w:color w:val="auto"/>
          <w:kern w:val="0"/>
          <w:sz w:val="24"/>
          <w:szCs w:val="24"/>
          <w:highlight w:val="none"/>
          <w:lang w:val="en-US" w:eastAsia="zh-CN"/>
        </w:rPr>
        <w:t>：6年。</w:t>
      </w:r>
    </w:p>
    <w:p w14:paraId="2BF36291">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Fonts w:hint="eastAsia" w:ascii="宋体" w:hAnsi="宋体" w:eastAsia="宋体" w:cs="宋体"/>
          <w:color w:val="auto"/>
          <w:sz w:val="24"/>
          <w:szCs w:val="24"/>
          <w:highlight w:val="none"/>
        </w:rPr>
      </w:pPr>
      <w:r>
        <w:rPr>
          <w:rStyle w:val="32"/>
          <w:rFonts w:hint="eastAsia" w:ascii="宋体" w:hAnsi="宋体" w:eastAsia="宋体" w:cs="宋体"/>
          <w:color w:val="auto"/>
          <w:kern w:val="0"/>
          <w:sz w:val="24"/>
          <w:szCs w:val="24"/>
          <w:highlight w:val="none"/>
          <w:lang w:val="en-US" w:eastAsia="zh-CN"/>
        </w:rPr>
        <w:t>3.</w:t>
      </w:r>
      <w:r>
        <w:rPr>
          <w:rStyle w:val="32"/>
          <w:rFonts w:hint="eastAsia" w:ascii="宋体" w:hAnsi="宋体" w:eastAsia="宋体" w:cs="宋体"/>
          <w:color w:val="auto"/>
          <w:kern w:val="0"/>
          <w:sz w:val="24"/>
          <w:szCs w:val="24"/>
          <w:highlight w:val="none"/>
        </w:rPr>
        <w:t>参与报价的单位需将</w:t>
      </w:r>
      <w:r>
        <w:rPr>
          <w:rStyle w:val="32"/>
          <w:rFonts w:hint="eastAsia" w:ascii="宋体" w:hAnsi="宋体" w:eastAsia="宋体" w:cs="宋体"/>
          <w:color w:val="auto"/>
          <w:kern w:val="0"/>
          <w:sz w:val="24"/>
          <w:szCs w:val="24"/>
          <w:highlight w:val="none"/>
          <w:lang w:val="en-US" w:eastAsia="zh-CN"/>
        </w:rPr>
        <w:t>有效的</w:t>
      </w:r>
      <w:r>
        <w:rPr>
          <w:rStyle w:val="32"/>
          <w:rFonts w:hint="eastAsia" w:ascii="宋体" w:hAnsi="宋体" w:eastAsia="宋体" w:cs="宋体"/>
          <w:b/>
          <w:bCs/>
          <w:color w:val="auto"/>
          <w:kern w:val="0"/>
          <w:sz w:val="24"/>
          <w:szCs w:val="24"/>
          <w:highlight w:val="none"/>
        </w:rPr>
        <w:t>营业执照复印件和市场询价</w:t>
      </w:r>
      <w:r>
        <w:rPr>
          <w:rStyle w:val="32"/>
          <w:rFonts w:hint="eastAsia" w:ascii="宋体" w:hAnsi="宋体" w:eastAsia="宋体" w:cs="宋体"/>
          <w:b/>
          <w:bCs/>
          <w:color w:val="auto"/>
          <w:kern w:val="0"/>
          <w:sz w:val="24"/>
          <w:szCs w:val="24"/>
          <w:highlight w:val="none"/>
          <w:lang w:val="en-US" w:eastAsia="zh-CN"/>
        </w:rPr>
        <w:t>报价单</w:t>
      </w:r>
      <w:r>
        <w:rPr>
          <w:rStyle w:val="32"/>
          <w:rFonts w:hint="eastAsia" w:ascii="宋体" w:hAnsi="宋体" w:eastAsia="宋体" w:cs="宋体"/>
          <w:color w:val="auto"/>
          <w:kern w:val="0"/>
          <w:sz w:val="24"/>
          <w:szCs w:val="24"/>
          <w:highlight w:val="none"/>
          <w:lang w:val="en-US" w:eastAsia="zh-CN"/>
        </w:rPr>
        <w:t>（含汇总表及分项报价表）</w:t>
      </w:r>
      <w:r>
        <w:rPr>
          <w:rStyle w:val="32"/>
          <w:rFonts w:hint="eastAsia" w:ascii="宋体" w:hAnsi="宋体" w:eastAsia="宋体" w:cs="宋体"/>
          <w:color w:val="auto"/>
          <w:kern w:val="0"/>
          <w:sz w:val="24"/>
          <w:szCs w:val="24"/>
          <w:highlight w:val="none"/>
        </w:rPr>
        <w:t>于202</w:t>
      </w:r>
      <w:r>
        <w:rPr>
          <w:rStyle w:val="32"/>
          <w:rFonts w:hint="eastAsia" w:ascii="宋体" w:hAnsi="宋体" w:eastAsia="宋体" w:cs="宋体"/>
          <w:color w:val="auto"/>
          <w:kern w:val="0"/>
          <w:sz w:val="24"/>
          <w:szCs w:val="24"/>
          <w:highlight w:val="none"/>
          <w:lang w:val="en-US" w:eastAsia="zh-CN"/>
        </w:rPr>
        <w:t>5</w:t>
      </w:r>
      <w:r>
        <w:rPr>
          <w:rStyle w:val="32"/>
          <w:rFonts w:hint="eastAsia" w:ascii="宋体" w:hAnsi="宋体" w:eastAsia="宋体" w:cs="宋体"/>
          <w:color w:val="auto"/>
          <w:kern w:val="0"/>
          <w:sz w:val="24"/>
          <w:szCs w:val="24"/>
          <w:highlight w:val="none"/>
        </w:rPr>
        <w:t>年</w:t>
      </w:r>
      <w:r>
        <w:rPr>
          <w:rStyle w:val="32"/>
          <w:rFonts w:hint="eastAsia" w:ascii="宋体" w:hAnsi="宋体" w:eastAsia="宋体" w:cs="宋体"/>
          <w:color w:val="auto"/>
          <w:kern w:val="0"/>
          <w:sz w:val="24"/>
          <w:szCs w:val="24"/>
          <w:highlight w:val="none"/>
          <w:lang w:val="en-US" w:eastAsia="zh-CN"/>
        </w:rPr>
        <w:t>9</w:t>
      </w:r>
      <w:r>
        <w:rPr>
          <w:rStyle w:val="32"/>
          <w:rFonts w:hint="eastAsia" w:ascii="宋体" w:hAnsi="宋体" w:eastAsia="宋体" w:cs="宋体"/>
          <w:color w:val="auto"/>
          <w:kern w:val="0"/>
          <w:sz w:val="24"/>
          <w:szCs w:val="24"/>
          <w:highlight w:val="none"/>
        </w:rPr>
        <w:t>月</w:t>
      </w:r>
      <w:r>
        <w:rPr>
          <w:rStyle w:val="32"/>
          <w:rFonts w:hint="eastAsia" w:ascii="宋体" w:hAnsi="宋体" w:eastAsia="宋体" w:cs="宋体"/>
          <w:color w:val="auto"/>
          <w:kern w:val="0"/>
          <w:sz w:val="24"/>
          <w:szCs w:val="24"/>
          <w:highlight w:val="none"/>
          <w:lang w:val="en-US" w:eastAsia="zh-CN"/>
        </w:rPr>
        <w:t>19</w:t>
      </w:r>
      <w:r>
        <w:rPr>
          <w:rStyle w:val="32"/>
          <w:rFonts w:hint="eastAsia" w:ascii="宋体" w:hAnsi="宋体" w:eastAsia="宋体" w:cs="宋体"/>
          <w:color w:val="auto"/>
          <w:kern w:val="0"/>
          <w:sz w:val="24"/>
          <w:szCs w:val="24"/>
          <w:highlight w:val="none"/>
        </w:rPr>
        <w:t>日17:00前</w:t>
      </w:r>
      <w:r>
        <w:rPr>
          <w:rStyle w:val="32"/>
          <w:rFonts w:hint="eastAsia" w:ascii="宋体" w:hAnsi="宋体" w:eastAsia="宋体" w:cs="宋体"/>
          <w:color w:val="auto"/>
          <w:kern w:val="0"/>
          <w:sz w:val="24"/>
          <w:szCs w:val="24"/>
          <w:highlight w:val="none"/>
          <w:lang w:eastAsia="zh-CN"/>
        </w:rPr>
        <w:t>，</w:t>
      </w:r>
      <w:r>
        <w:rPr>
          <w:rFonts w:hint="eastAsia" w:ascii="宋体" w:hAnsi="宋体" w:eastAsia="宋体" w:cs="宋体"/>
          <w:color w:val="auto"/>
          <w:sz w:val="24"/>
          <w:szCs w:val="24"/>
          <w:highlight w:val="none"/>
        </w:rPr>
        <w:t>送或寄或者电子邮箱（以邮件收到时间为准）。送或寄的地址为：</w:t>
      </w:r>
      <w:r>
        <w:rPr>
          <w:rFonts w:hint="eastAsia" w:ascii="宋体" w:hAnsi="宋体" w:eastAsia="宋体" w:cs="宋体"/>
          <w:color w:val="auto"/>
          <w:sz w:val="24"/>
          <w:szCs w:val="24"/>
          <w:highlight w:val="none"/>
          <w:u w:val="single"/>
          <w:lang w:val="en-US" w:eastAsia="zh-CN"/>
        </w:rPr>
        <w:t>江苏天宏华信工程投资管理咨询有限公司（启东市南苑西路1168号国动产业园2号楼402室）</w:t>
      </w:r>
      <w:r>
        <w:rPr>
          <w:rFonts w:hint="eastAsia" w:ascii="宋体" w:hAnsi="宋体" w:eastAsia="宋体" w:cs="宋体"/>
          <w:color w:val="auto"/>
          <w:sz w:val="24"/>
          <w:szCs w:val="24"/>
          <w:highlight w:val="none"/>
        </w:rPr>
        <w:t>，</w:t>
      </w:r>
      <w:r>
        <w:rPr>
          <w:rStyle w:val="32"/>
          <w:rFonts w:hint="eastAsia" w:ascii="宋体" w:hAnsi="宋体" w:eastAsia="宋体" w:cs="宋体"/>
          <w:color w:val="auto"/>
          <w:sz w:val="24"/>
          <w:szCs w:val="24"/>
        </w:rPr>
        <w:t>联系人：</w:t>
      </w:r>
      <w:r>
        <w:rPr>
          <w:rStyle w:val="32"/>
          <w:rFonts w:hint="eastAsia" w:ascii="宋体" w:hAnsi="宋体" w:eastAsia="宋体" w:cs="宋体"/>
          <w:color w:val="auto"/>
          <w:sz w:val="24"/>
          <w:szCs w:val="24"/>
          <w:u w:val="single"/>
        </w:rPr>
        <w:t xml:space="preserve"> </w:t>
      </w:r>
      <w:r>
        <w:rPr>
          <w:rStyle w:val="32"/>
          <w:rFonts w:hint="eastAsia" w:ascii="宋体" w:hAnsi="宋体" w:eastAsia="宋体" w:cs="宋体"/>
          <w:color w:val="auto"/>
          <w:sz w:val="24"/>
          <w:szCs w:val="24"/>
          <w:u w:val="single"/>
          <w:lang w:eastAsia="zh-CN"/>
        </w:rPr>
        <w:t>杨女士</w:t>
      </w:r>
      <w:r>
        <w:rPr>
          <w:rStyle w:val="32"/>
          <w:rFonts w:hint="eastAsia" w:ascii="宋体" w:hAnsi="宋体" w:eastAsia="宋体" w:cs="宋体"/>
          <w:color w:val="auto"/>
          <w:sz w:val="24"/>
          <w:szCs w:val="24"/>
        </w:rPr>
        <w:t>，联系电话：</w:t>
      </w:r>
      <w:r>
        <w:rPr>
          <w:rStyle w:val="32"/>
          <w:rFonts w:hint="eastAsia" w:ascii="宋体" w:hAnsi="宋体" w:eastAsia="宋体" w:cs="宋体"/>
          <w:color w:val="auto"/>
          <w:sz w:val="24"/>
          <w:szCs w:val="24"/>
          <w:u w:val="single"/>
          <w:lang w:val="en-US" w:eastAsia="zh-CN"/>
        </w:rPr>
        <w:t>0513-83248588</w:t>
      </w:r>
      <w:r>
        <w:rPr>
          <w:rStyle w:val="32"/>
          <w:rFonts w:hint="eastAsia" w:ascii="宋体" w:hAnsi="宋体" w:eastAsia="宋体" w:cs="宋体"/>
          <w:color w:val="auto"/>
          <w:sz w:val="24"/>
          <w:szCs w:val="24"/>
        </w:rPr>
        <w:t>,电子邮箱地址为：</w:t>
      </w:r>
      <w:r>
        <w:rPr>
          <w:rStyle w:val="32"/>
          <w:rFonts w:hint="eastAsia" w:ascii="宋体" w:hAnsi="宋体" w:eastAsia="宋体" w:cs="宋体"/>
          <w:color w:val="auto"/>
          <w:sz w:val="24"/>
          <w:szCs w:val="24"/>
          <w:u w:val="single"/>
          <w:lang w:val="en-US" w:eastAsia="zh-CN"/>
        </w:rPr>
        <w:t>240876395@qq.com</w:t>
      </w:r>
      <w:r>
        <w:rPr>
          <w:rFonts w:hint="eastAsia" w:ascii="宋体" w:hAnsi="宋体" w:eastAsia="宋体" w:cs="宋体"/>
          <w:color w:val="auto"/>
          <w:sz w:val="24"/>
          <w:szCs w:val="24"/>
        </w:rPr>
        <w:t>。</w:t>
      </w:r>
    </w:p>
    <w:p w14:paraId="5E26F5D0">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Style w:val="32"/>
          <w:rFonts w:hint="eastAsia" w:ascii="宋体" w:hAnsi="宋体" w:eastAsia="宋体" w:cs="宋体"/>
          <w:color w:val="auto"/>
          <w:kern w:val="0"/>
          <w:sz w:val="24"/>
          <w:szCs w:val="24"/>
          <w:highlight w:val="none"/>
        </w:rPr>
      </w:pPr>
      <w:r>
        <w:rPr>
          <w:rStyle w:val="32"/>
          <w:rFonts w:hint="eastAsia" w:ascii="宋体" w:hAnsi="宋体" w:eastAsia="宋体" w:cs="宋体"/>
          <w:color w:val="auto"/>
          <w:kern w:val="0"/>
          <w:sz w:val="24"/>
          <w:szCs w:val="24"/>
          <w:highlight w:val="none"/>
          <w:lang w:val="en-US" w:eastAsia="zh-CN"/>
        </w:rPr>
        <w:t>4</w:t>
      </w:r>
      <w:r>
        <w:rPr>
          <w:rStyle w:val="32"/>
          <w:rFonts w:hint="eastAsia" w:ascii="宋体" w:hAnsi="宋体" w:eastAsia="宋体" w:cs="宋体"/>
          <w:color w:val="auto"/>
          <w:kern w:val="0"/>
          <w:sz w:val="24"/>
          <w:szCs w:val="24"/>
          <w:highlight w:val="none"/>
        </w:rPr>
        <w:t>.报价费用说明：</w:t>
      </w:r>
    </w:p>
    <w:p w14:paraId="7BAD2A4F">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Style w:val="32"/>
          <w:rFonts w:hint="eastAsia" w:ascii="宋体" w:hAnsi="宋体" w:eastAsia="宋体" w:cs="宋体"/>
          <w:color w:val="auto"/>
          <w:kern w:val="0"/>
          <w:sz w:val="24"/>
          <w:szCs w:val="24"/>
          <w:highlight w:val="none"/>
          <w:lang w:val="en-US" w:eastAsia="zh-CN"/>
        </w:rPr>
      </w:pPr>
      <w:r>
        <w:rPr>
          <w:rStyle w:val="32"/>
          <w:rFonts w:hint="eastAsia" w:ascii="宋体" w:hAnsi="宋体" w:eastAsia="宋体" w:cs="宋体"/>
          <w:color w:val="auto"/>
          <w:kern w:val="0"/>
          <w:sz w:val="24"/>
          <w:szCs w:val="24"/>
          <w:highlight w:val="none"/>
          <w:lang w:val="en-US" w:eastAsia="zh-CN"/>
        </w:rPr>
        <w:t>1、本项目采取固定单价报价，各投标人每项的分项综合单价报价与分项最高限价相比的下浮率必须一致，否则作无效标处理。</w:t>
      </w:r>
    </w:p>
    <w:p w14:paraId="593F784C">
      <w:pPr>
        <w:keepNext w:val="0"/>
        <w:keepLines w:val="0"/>
        <w:pageBreakBefore w:val="0"/>
        <w:kinsoku/>
        <w:wordWrap/>
        <w:overflowPunct/>
        <w:topLinePunct w:val="0"/>
        <w:autoSpaceDE/>
        <w:autoSpaceDN/>
        <w:bidi w:val="0"/>
        <w:adjustRightInd/>
        <w:snapToGrid/>
        <w:spacing w:line="440" w:lineRule="exact"/>
        <w:ind w:right="0" w:rightChars="0" w:firstLine="482" w:firstLineChars="200"/>
        <w:textAlignment w:val="auto"/>
        <w:rPr>
          <w:rStyle w:val="32"/>
          <w:rFonts w:hint="eastAsia" w:ascii="宋体" w:hAnsi="宋体" w:eastAsia="宋体" w:cs="宋体"/>
          <w:b/>
          <w:bCs/>
          <w:color w:val="auto"/>
          <w:kern w:val="0"/>
          <w:sz w:val="24"/>
          <w:szCs w:val="24"/>
          <w:highlight w:val="none"/>
          <w:lang w:val="en-US" w:eastAsia="zh-CN"/>
        </w:rPr>
      </w:pPr>
      <w:r>
        <w:rPr>
          <w:rStyle w:val="32"/>
          <w:rFonts w:hint="eastAsia" w:ascii="宋体" w:hAnsi="宋体" w:eastAsia="宋体" w:cs="宋体"/>
          <w:b/>
          <w:bCs/>
          <w:color w:val="auto"/>
          <w:kern w:val="0"/>
          <w:sz w:val="24"/>
          <w:szCs w:val="24"/>
          <w:highlight w:val="none"/>
          <w:lang w:val="en-US" w:eastAsia="zh-CN"/>
        </w:rPr>
        <w:t>2、</w:t>
      </w:r>
      <w:r>
        <w:rPr>
          <w:rStyle w:val="32"/>
          <w:rFonts w:hint="eastAsia" w:ascii="宋体" w:hAnsi="宋体" w:eastAsia="宋体" w:cs="宋体"/>
          <w:b/>
          <w:bCs/>
          <w:color w:val="auto"/>
          <w:kern w:val="0"/>
          <w:sz w:val="24"/>
          <w:szCs w:val="24"/>
          <w:highlight w:val="none"/>
          <w:lang w:eastAsia="zh-CN"/>
        </w:rPr>
        <w:t>投标报价保留小数点后两位小数，否则作无效标处理。</w:t>
      </w:r>
    </w:p>
    <w:p w14:paraId="112A1235">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Style w:val="32"/>
          <w:rFonts w:hint="eastAsia" w:ascii="宋体" w:hAnsi="宋体" w:eastAsia="宋体" w:cs="宋体"/>
          <w:kern w:val="0"/>
          <w:sz w:val="24"/>
          <w:szCs w:val="24"/>
          <w:highlight w:val="none"/>
          <w:lang w:val="en-US" w:eastAsia="zh-CN"/>
        </w:rPr>
      </w:pPr>
      <w:r>
        <w:rPr>
          <w:rStyle w:val="32"/>
          <w:rFonts w:hint="eastAsia" w:ascii="宋体" w:hAnsi="宋体" w:eastAsia="宋体" w:cs="宋体"/>
          <w:color w:val="auto"/>
          <w:kern w:val="0"/>
          <w:sz w:val="24"/>
          <w:szCs w:val="24"/>
          <w:highlight w:val="none"/>
          <w:lang w:val="en-US" w:eastAsia="zh-CN"/>
        </w:rPr>
        <w:t>3、本项目采取固定单价报价，此报价包括货物的制作、运输（含上下人力费）、材料检测费、保险、装卸、配件、13%税金、现场安装技术指导、售后服务等所有费用，和政策性文件规定及合同包含的所有风险、责任等各项应有费用，即招标物交付使用前的所有费用以及免保期内的服务费用。本项目采购量为预估用量，会多批次少量进货，请各投标人在报价时充分考虑各种因素（如税金、运输等各种费用），合同期内中标单价不作调</w:t>
      </w:r>
      <w:r>
        <w:rPr>
          <w:rStyle w:val="32"/>
          <w:rFonts w:hint="eastAsia" w:ascii="宋体" w:hAnsi="宋体" w:eastAsia="宋体" w:cs="宋体"/>
          <w:kern w:val="0"/>
          <w:sz w:val="24"/>
          <w:szCs w:val="24"/>
          <w:highlight w:val="none"/>
          <w:lang w:val="en-US" w:eastAsia="zh-CN"/>
        </w:rPr>
        <w:t>。</w:t>
      </w:r>
    </w:p>
    <w:p w14:paraId="52967B6C">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Style w:val="32"/>
          <w:rFonts w:hint="eastAsia" w:ascii="宋体" w:hAnsi="宋体" w:eastAsia="宋体" w:cs="宋体"/>
          <w:color w:val="auto"/>
          <w:kern w:val="0"/>
          <w:sz w:val="24"/>
          <w:szCs w:val="24"/>
          <w:highlight w:val="none"/>
          <w:lang w:val="en-US" w:eastAsia="zh-CN"/>
        </w:rPr>
      </w:pPr>
      <w:r>
        <w:rPr>
          <w:rStyle w:val="32"/>
          <w:rFonts w:hint="eastAsia" w:ascii="宋体" w:hAnsi="宋体" w:eastAsia="宋体" w:cs="宋体"/>
          <w:kern w:val="0"/>
          <w:sz w:val="24"/>
          <w:szCs w:val="24"/>
          <w:highlight w:val="none"/>
          <w:lang w:val="en-US" w:eastAsia="zh-CN"/>
        </w:rPr>
        <w:t>5</w:t>
      </w:r>
      <w:r>
        <w:rPr>
          <w:rStyle w:val="32"/>
          <w:rFonts w:hint="eastAsia" w:ascii="宋体" w:hAnsi="宋体" w:eastAsia="宋体" w:cs="宋体"/>
          <w:kern w:val="0"/>
          <w:sz w:val="24"/>
          <w:szCs w:val="24"/>
          <w:highlight w:val="none"/>
        </w:rPr>
        <w:t>.</w:t>
      </w:r>
      <w:r>
        <w:rPr>
          <w:rStyle w:val="32"/>
          <w:rFonts w:hint="eastAsia" w:ascii="宋体" w:hAnsi="宋体" w:eastAsia="宋体" w:cs="宋体"/>
          <w:color w:val="auto"/>
          <w:kern w:val="0"/>
          <w:sz w:val="24"/>
          <w:szCs w:val="24"/>
          <w:highlight w:val="none"/>
          <w:lang w:val="en-US" w:eastAsia="zh-CN"/>
        </w:rPr>
        <w:t>营业执照及所有报价单必须加盖报价单位公章。</w:t>
      </w:r>
    </w:p>
    <w:p w14:paraId="12E1A687">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Style w:val="32"/>
          <w:rFonts w:hint="eastAsia" w:ascii="宋体" w:hAnsi="宋体" w:eastAsia="宋体" w:cs="宋体"/>
          <w:color w:val="auto"/>
          <w:kern w:val="0"/>
          <w:sz w:val="24"/>
          <w:szCs w:val="24"/>
          <w:highlight w:val="none"/>
          <w:lang w:val="en-US" w:eastAsia="zh-CN"/>
        </w:rPr>
      </w:pPr>
      <w:r>
        <w:rPr>
          <w:rStyle w:val="32"/>
          <w:rFonts w:hint="eastAsia" w:ascii="宋体" w:hAnsi="宋体" w:eastAsia="宋体" w:cs="宋体"/>
          <w:color w:val="auto"/>
          <w:kern w:val="0"/>
          <w:sz w:val="24"/>
          <w:szCs w:val="24"/>
          <w:highlight w:val="none"/>
          <w:lang w:val="en-US" w:eastAsia="zh-CN"/>
        </w:rPr>
        <w:t>6.拟定支付方式及期限：本次采购量为预估量，最终结算按每次实际采购量计，每次供货完毕并经验收合格后，收到卖方相应的增值税专用发票后30天内支付该批订单的90%货款，合同期内所供货物的余款10%于合同期结束满6年后，经采购单位认可后一次性结清。</w:t>
      </w:r>
    </w:p>
    <w:p w14:paraId="01AA635D">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Style w:val="32"/>
          <w:rFonts w:hint="eastAsia" w:ascii="宋体" w:hAnsi="宋体" w:eastAsia="宋体" w:cs="宋体"/>
          <w:color w:val="auto"/>
          <w:kern w:val="0"/>
          <w:sz w:val="24"/>
          <w:szCs w:val="24"/>
          <w:highlight w:val="none"/>
          <w:lang w:val="en-US" w:eastAsia="zh-CN"/>
        </w:rPr>
      </w:pPr>
      <w:r>
        <w:rPr>
          <w:rStyle w:val="32"/>
          <w:rFonts w:hint="eastAsia" w:ascii="宋体" w:hAnsi="宋体" w:eastAsia="宋体" w:cs="宋体"/>
          <w:color w:val="auto"/>
          <w:kern w:val="0"/>
          <w:sz w:val="24"/>
          <w:szCs w:val="24"/>
          <w:highlight w:val="none"/>
          <w:lang w:val="en-US" w:eastAsia="zh-CN"/>
        </w:rPr>
        <w:t>注：成交供应商申请付款的程序应符合采购人的财务规定。</w:t>
      </w:r>
    </w:p>
    <w:p w14:paraId="3B0E780C">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Fonts w:asciiTheme="minorEastAsia" w:hAnsiTheme="minorEastAsia"/>
          <w:sz w:val="24"/>
          <w:szCs w:val="24"/>
          <w:highlight w:val="none"/>
        </w:rPr>
      </w:pPr>
      <w:r>
        <w:rPr>
          <w:rStyle w:val="32"/>
          <w:rFonts w:hint="eastAsia" w:ascii="宋体" w:hAnsi="宋体" w:eastAsia="宋体" w:cs="宋体"/>
          <w:kern w:val="0"/>
          <w:sz w:val="24"/>
          <w:szCs w:val="24"/>
          <w:highlight w:val="none"/>
          <w:lang w:val="en-US" w:eastAsia="zh-CN"/>
        </w:rPr>
        <w:t>7</w:t>
      </w:r>
      <w:r>
        <w:rPr>
          <w:rStyle w:val="32"/>
          <w:rFonts w:hint="eastAsia" w:ascii="宋体" w:hAnsi="宋体" w:eastAsia="宋体" w:cs="宋体"/>
          <w:kern w:val="0"/>
          <w:sz w:val="24"/>
          <w:szCs w:val="24"/>
          <w:highlight w:val="none"/>
        </w:rPr>
        <w:t>.其他：</w:t>
      </w:r>
      <w:r>
        <w:rPr>
          <w:rStyle w:val="32"/>
          <w:rFonts w:hint="eastAsia" w:ascii="宋体" w:hAnsi="宋体" w:eastAsia="宋体" w:cs="宋体"/>
          <w:kern w:val="0"/>
          <w:sz w:val="24"/>
          <w:szCs w:val="24"/>
          <w:highlight w:val="none"/>
          <w:lang w:eastAsia="zh-CN"/>
        </w:rPr>
        <w:t>（</w:t>
      </w:r>
      <w:r>
        <w:rPr>
          <w:rStyle w:val="32"/>
          <w:rFonts w:hint="eastAsia" w:ascii="宋体" w:hAnsi="宋体" w:eastAsia="宋体" w:cs="宋体"/>
          <w:kern w:val="0"/>
          <w:sz w:val="24"/>
          <w:szCs w:val="24"/>
          <w:highlight w:val="none"/>
          <w:lang w:val="en-US" w:eastAsia="zh-CN"/>
        </w:rPr>
        <w:t>1</w:t>
      </w:r>
      <w:r>
        <w:rPr>
          <w:rStyle w:val="32"/>
          <w:rFonts w:hint="eastAsia" w:ascii="宋体" w:hAnsi="宋体" w:eastAsia="宋体" w:cs="宋体"/>
          <w:kern w:val="0"/>
          <w:sz w:val="24"/>
          <w:szCs w:val="24"/>
          <w:highlight w:val="none"/>
          <w:lang w:eastAsia="zh-CN"/>
        </w:rPr>
        <w:t>）</w:t>
      </w:r>
      <w:r>
        <w:rPr>
          <w:rStyle w:val="32"/>
          <w:rFonts w:hint="eastAsia" w:ascii="宋体" w:hAnsi="宋体" w:eastAsia="宋体" w:cs="宋体"/>
          <w:kern w:val="0"/>
          <w:sz w:val="24"/>
          <w:szCs w:val="24"/>
          <w:highlight w:val="none"/>
        </w:rPr>
        <w:t>请报价单位认真核算、如实报价，如发现虚假报价的，该单位今后将</w:t>
      </w:r>
      <w:r>
        <w:rPr>
          <w:rStyle w:val="32"/>
          <w:rFonts w:hint="eastAsia" w:ascii="宋体" w:hAnsi="宋体" w:eastAsia="宋体" w:cs="宋体"/>
          <w:kern w:val="0"/>
          <w:sz w:val="24"/>
          <w:szCs w:val="24"/>
          <w:highlight w:val="none"/>
          <w:lang w:val="en-US" w:eastAsia="zh-CN"/>
        </w:rPr>
        <w:t>记入</w:t>
      </w:r>
      <w:r>
        <w:rPr>
          <w:rStyle w:val="32"/>
          <w:rFonts w:hint="eastAsia" w:ascii="宋体" w:hAnsi="宋体" w:eastAsia="宋体" w:cs="宋体"/>
          <w:kern w:val="0"/>
          <w:sz w:val="24"/>
          <w:szCs w:val="24"/>
          <w:highlight w:val="none"/>
        </w:rPr>
        <w:t>采购</w:t>
      </w:r>
      <w:r>
        <w:rPr>
          <w:rStyle w:val="32"/>
          <w:rFonts w:hint="eastAsia" w:ascii="宋体" w:hAnsi="宋体" w:eastAsia="宋体" w:cs="宋体"/>
          <w:kern w:val="0"/>
          <w:sz w:val="24"/>
          <w:szCs w:val="24"/>
          <w:highlight w:val="none"/>
          <w:lang w:val="en-US" w:eastAsia="zh-CN"/>
        </w:rPr>
        <w:t>人招标市场的黑名单</w:t>
      </w:r>
      <w:r>
        <w:rPr>
          <w:rStyle w:val="32"/>
          <w:rFonts w:hint="eastAsia" w:ascii="宋体" w:hAnsi="宋体" w:eastAsia="宋体" w:cs="宋体"/>
          <w:kern w:val="0"/>
          <w:sz w:val="24"/>
          <w:szCs w:val="24"/>
          <w:highlight w:val="none"/>
        </w:rPr>
        <w:t>；</w:t>
      </w:r>
      <w:r>
        <w:rPr>
          <w:rStyle w:val="32"/>
          <w:rFonts w:hint="eastAsia" w:ascii="宋体" w:hAnsi="宋体" w:eastAsia="宋体" w:cs="宋体"/>
          <w:kern w:val="0"/>
          <w:sz w:val="24"/>
          <w:szCs w:val="24"/>
          <w:highlight w:val="none"/>
          <w:lang w:eastAsia="zh-CN"/>
        </w:rPr>
        <w:t>（</w:t>
      </w:r>
      <w:r>
        <w:rPr>
          <w:rStyle w:val="32"/>
          <w:rFonts w:hint="eastAsia" w:ascii="宋体" w:hAnsi="宋体" w:eastAsia="宋体" w:cs="宋体"/>
          <w:kern w:val="0"/>
          <w:sz w:val="24"/>
          <w:szCs w:val="24"/>
          <w:highlight w:val="none"/>
          <w:lang w:val="en-US" w:eastAsia="zh-CN"/>
        </w:rPr>
        <w:t>2</w:t>
      </w:r>
      <w:r>
        <w:rPr>
          <w:rStyle w:val="32"/>
          <w:rFonts w:hint="eastAsia" w:ascii="宋体" w:hAnsi="宋体" w:eastAsia="宋体" w:cs="宋体"/>
          <w:kern w:val="0"/>
          <w:sz w:val="24"/>
          <w:szCs w:val="24"/>
          <w:highlight w:val="none"/>
          <w:lang w:eastAsia="zh-CN"/>
        </w:rPr>
        <w:t>）</w:t>
      </w:r>
      <w:r>
        <w:rPr>
          <w:rStyle w:val="32"/>
          <w:rFonts w:hint="eastAsia" w:ascii="宋体" w:hAnsi="宋体" w:eastAsia="宋体" w:cs="宋体"/>
          <w:kern w:val="0"/>
          <w:sz w:val="24"/>
          <w:szCs w:val="24"/>
          <w:highlight w:val="none"/>
        </w:rPr>
        <w:t>本次报价仅作为市场调研用，因此价格仅供参考；</w:t>
      </w:r>
      <w:r>
        <w:rPr>
          <w:rStyle w:val="32"/>
          <w:rFonts w:hint="eastAsia" w:ascii="宋体" w:hAnsi="宋体" w:eastAsia="宋体" w:cs="宋体"/>
          <w:kern w:val="0"/>
          <w:sz w:val="24"/>
          <w:szCs w:val="24"/>
          <w:highlight w:val="none"/>
          <w:lang w:eastAsia="zh-CN"/>
        </w:rPr>
        <w:t>（</w:t>
      </w:r>
      <w:r>
        <w:rPr>
          <w:rStyle w:val="32"/>
          <w:rFonts w:hint="eastAsia" w:ascii="宋体" w:hAnsi="宋体" w:eastAsia="宋体" w:cs="宋体"/>
          <w:kern w:val="0"/>
          <w:sz w:val="24"/>
          <w:szCs w:val="24"/>
          <w:highlight w:val="none"/>
          <w:lang w:val="en-US" w:eastAsia="zh-CN"/>
        </w:rPr>
        <w:t>3</w:t>
      </w:r>
      <w:r>
        <w:rPr>
          <w:rStyle w:val="32"/>
          <w:rFonts w:hint="eastAsia" w:ascii="宋体" w:hAnsi="宋体" w:eastAsia="宋体" w:cs="宋体"/>
          <w:kern w:val="0"/>
          <w:sz w:val="24"/>
          <w:szCs w:val="24"/>
          <w:highlight w:val="none"/>
          <w:lang w:eastAsia="zh-CN"/>
        </w:rPr>
        <w:t>）</w:t>
      </w:r>
      <w:r>
        <w:rPr>
          <w:rStyle w:val="32"/>
          <w:rFonts w:hint="eastAsia" w:ascii="宋体" w:hAnsi="宋体" w:eastAsia="宋体" w:cs="宋体"/>
          <w:kern w:val="0"/>
          <w:sz w:val="24"/>
          <w:szCs w:val="24"/>
          <w:highlight w:val="none"/>
        </w:rPr>
        <w:t>本次调研询价不接收质疑函，只接收对本项目的建议。</w:t>
      </w:r>
    </w:p>
    <w:p w14:paraId="40EAAC75">
      <w:pPr>
        <w:keepNext w:val="0"/>
        <w:keepLines w:val="0"/>
        <w:pageBreakBefore w:val="0"/>
        <w:widowControl w:val="0"/>
        <w:kinsoku/>
        <w:wordWrap/>
        <w:overflowPunct/>
        <w:topLinePunct w:val="0"/>
        <w:autoSpaceDE/>
        <w:autoSpaceDN/>
        <w:bidi w:val="0"/>
        <w:adjustRightInd/>
        <w:snapToGrid/>
        <w:spacing w:line="400" w:lineRule="exact"/>
        <w:jc w:val="right"/>
        <w:textAlignment w:val="auto"/>
        <w:rPr>
          <w:rStyle w:val="32"/>
          <w:rFonts w:hint="eastAsia" w:ascii="宋体" w:hAnsi="宋体" w:eastAsia="宋体" w:cs="宋体"/>
          <w:kern w:val="0"/>
          <w:sz w:val="24"/>
          <w:szCs w:val="24"/>
          <w:highlight w:val="none"/>
          <w:lang w:val="en-US" w:eastAsia="zh-CN" w:bidi="ar-SA"/>
        </w:rPr>
      </w:pPr>
    </w:p>
    <w:p w14:paraId="586EF4E5">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宋体" w:hAnsi="宋体" w:eastAsia="宋体"/>
          <w:sz w:val="24"/>
          <w:szCs w:val="24"/>
          <w:highlight w:val="none"/>
          <w:lang w:val="en-US" w:eastAsia="zh-CN"/>
        </w:rPr>
      </w:pPr>
      <w:r>
        <w:rPr>
          <w:rFonts w:hint="eastAsia" w:ascii="宋体" w:hAnsi="宋体" w:eastAsia="宋体"/>
          <w:sz w:val="24"/>
          <w:szCs w:val="24"/>
          <w:highlight w:val="none"/>
          <w:lang w:val="en-US" w:eastAsia="zh-CN"/>
        </w:rPr>
        <w:t>启东市自来水厂有限公司</w:t>
      </w:r>
    </w:p>
    <w:p w14:paraId="425E89E7">
      <w:pPr>
        <w:keepNext w:val="0"/>
        <w:keepLines w:val="0"/>
        <w:pageBreakBefore w:val="0"/>
        <w:widowControl w:val="0"/>
        <w:kinsoku/>
        <w:wordWrap/>
        <w:overflowPunct/>
        <w:topLinePunct w:val="0"/>
        <w:autoSpaceDE/>
        <w:autoSpaceDN/>
        <w:bidi w:val="0"/>
        <w:adjustRightInd/>
        <w:snapToGrid/>
        <w:spacing w:line="360" w:lineRule="auto"/>
        <w:jc w:val="right"/>
        <w:textAlignment w:val="auto"/>
        <w:rPr>
          <w:rStyle w:val="32"/>
          <w:rFonts w:hint="eastAsia" w:ascii="宋体" w:hAnsi="宋体" w:eastAsia="宋体" w:cs="宋体"/>
          <w:color w:val="auto"/>
          <w:kern w:val="0"/>
          <w:sz w:val="24"/>
          <w:szCs w:val="24"/>
          <w:highlight w:val="none"/>
          <w:lang w:val="en-US" w:eastAsia="zh-CN" w:bidi="ar-SA"/>
        </w:rPr>
      </w:pPr>
      <w:r>
        <w:rPr>
          <w:rStyle w:val="32"/>
          <w:rFonts w:hint="eastAsia" w:ascii="宋体" w:hAnsi="宋体" w:eastAsia="宋体" w:cs="宋体"/>
          <w:color w:val="auto"/>
          <w:kern w:val="0"/>
          <w:sz w:val="24"/>
          <w:szCs w:val="24"/>
          <w:highlight w:val="none"/>
          <w:lang w:val="en-US" w:eastAsia="zh-CN" w:bidi="ar-SA"/>
        </w:rPr>
        <w:t>2025年9月15日</w:t>
      </w:r>
    </w:p>
    <w:p w14:paraId="10B6DC4A">
      <w:pPr>
        <w:rPr>
          <w:rFonts w:hint="default" w:ascii="宋体" w:hAnsi="宋体" w:eastAsia="宋体" w:cs="宋体"/>
          <w:b/>
          <w:color w:val="auto"/>
          <w:kern w:val="0"/>
          <w:sz w:val="28"/>
          <w:szCs w:val="28"/>
          <w:highlight w:val="none"/>
          <w:lang w:val="en-US" w:eastAsia="zh-CN"/>
        </w:rPr>
      </w:pPr>
    </w:p>
    <w:p w14:paraId="22F64D54">
      <w:pPr>
        <w:pStyle w:val="10"/>
        <w:rPr>
          <w:rFonts w:hint="default" w:ascii="宋体" w:hAnsi="宋体" w:eastAsia="宋体" w:cs="宋体"/>
          <w:b/>
          <w:color w:val="auto"/>
          <w:kern w:val="0"/>
          <w:sz w:val="28"/>
          <w:szCs w:val="28"/>
          <w:highlight w:val="none"/>
          <w:lang w:val="en-US" w:eastAsia="zh-CN"/>
        </w:rPr>
      </w:pPr>
    </w:p>
    <w:p w14:paraId="5E709A90">
      <w:pPr>
        <w:rPr>
          <w:rFonts w:hint="default" w:ascii="宋体" w:hAnsi="宋体" w:eastAsia="宋体" w:cs="宋体"/>
          <w:b/>
          <w:color w:val="auto"/>
          <w:kern w:val="0"/>
          <w:sz w:val="28"/>
          <w:szCs w:val="28"/>
          <w:highlight w:val="none"/>
          <w:lang w:val="en-US" w:eastAsia="zh-CN"/>
        </w:rPr>
      </w:pPr>
    </w:p>
    <w:p w14:paraId="6EC3AB09">
      <w:pPr>
        <w:pStyle w:val="10"/>
        <w:rPr>
          <w:rFonts w:hint="default" w:ascii="宋体" w:hAnsi="宋体" w:eastAsia="宋体" w:cs="宋体"/>
          <w:b/>
          <w:color w:val="auto"/>
          <w:kern w:val="0"/>
          <w:sz w:val="28"/>
          <w:szCs w:val="28"/>
          <w:highlight w:val="none"/>
          <w:lang w:val="en-US" w:eastAsia="zh-CN"/>
        </w:rPr>
      </w:pPr>
    </w:p>
    <w:p w14:paraId="574FCDE5">
      <w:pPr>
        <w:rPr>
          <w:rFonts w:hint="default" w:ascii="宋体" w:hAnsi="宋体" w:eastAsia="宋体" w:cs="宋体"/>
          <w:b/>
          <w:color w:val="auto"/>
          <w:kern w:val="0"/>
          <w:sz w:val="28"/>
          <w:szCs w:val="28"/>
          <w:highlight w:val="none"/>
          <w:lang w:val="en-US" w:eastAsia="zh-CN"/>
        </w:rPr>
      </w:pPr>
    </w:p>
    <w:p w14:paraId="4D003E8C">
      <w:pPr>
        <w:pStyle w:val="10"/>
        <w:rPr>
          <w:rFonts w:hint="default" w:ascii="宋体" w:hAnsi="宋体" w:eastAsia="宋体" w:cs="宋体"/>
          <w:b/>
          <w:color w:val="auto"/>
          <w:kern w:val="0"/>
          <w:sz w:val="28"/>
          <w:szCs w:val="28"/>
          <w:highlight w:val="none"/>
          <w:lang w:val="en-US" w:eastAsia="zh-CN"/>
        </w:rPr>
      </w:pPr>
    </w:p>
    <w:p w14:paraId="18E2E567">
      <w:pPr>
        <w:pStyle w:val="10"/>
        <w:rPr>
          <w:rFonts w:hint="eastAsia" w:ascii="宋体" w:hAnsi="宋体" w:cs="宋体"/>
          <w:b/>
          <w:color w:val="auto"/>
          <w:kern w:val="0"/>
          <w:sz w:val="28"/>
          <w:szCs w:val="28"/>
          <w:highlight w:val="none"/>
          <w:lang w:val="en-US" w:eastAsia="zh-CN"/>
        </w:rPr>
      </w:pPr>
    </w:p>
    <w:p w14:paraId="6150418D">
      <w:pPr>
        <w:pStyle w:val="10"/>
        <w:rPr>
          <w:rFonts w:hint="eastAsia" w:ascii="宋体" w:hAnsi="宋体" w:cs="宋体"/>
          <w:b/>
          <w:color w:val="auto"/>
          <w:kern w:val="0"/>
          <w:sz w:val="28"/>
          <w:szCs w:val="28"/>
          <w:highlight w:val="none"/>
          <w:lang w:val="en-US" w:eastAsia="zh-CN"/>
        </w:rPr>
      </w:pPr>
    </w:p>
    <w:p w14:paraId="526FF72C">
      <w:pPr>
        <w:pStyle w:val="10"/>
        <w:rPr>
          <w:rFonts w:hint="eastAsia" w:ascii="宋体" w:hAnsi="宋体" w:cs="宋体"/>
          <w:b/>
          <w:color w:val="auto"/>
          <w:kern w:val="0"/>
          <w:sz w:val="28"/>
          <w:szCs w:val="28"/>
          <w:highlight w:val="none"/>
          <w:lang w:val="en-US" w:eastAsia="zh-CN"/>
        </w:rPr>
      </w:pPr>
    </w:p>
    <w:p w14:paraId="1E6E471A">
      <w:pPr>
        <w:pStyle w:val="10"/>
        <w:rPr>
          <w:rFonts w:hint="eastAsia" w:ascii="宋体" w:hAnsi="宋体" w:cs="宋体"/>
          <w:b/>
          <w:color w:val="auto"/>
          <w:kern w:val="0"/>
          <w:sz w:val="28"/>
          <w:szCs w:val="28"/>
          <w:highlight w:val="none"/>
          <w:lang w:val="en-US" w:eastAsia="zh-CN"/>
        </w:rPr>
      </w:pPr>
    </w:p>
    <w:p w14:paraId="5F5A4B4A">
      <w:pPr>
        <w:pStyle w:val="10"/>
        <w:rPr>
          <w:rFonts w:hint="eastAsia" w:ascii="宋体" w:hAnsi="宋体" w:cs="宋体"/>
          <w:b/>
          <w:color w:val="auto"/>
          <w:kern w:val="0"/>
          <w:sz w:val="28"/>
          <w:szCs w:val="28"/>
          <w:highlight w:val="none"/>
          <w:lang w:val="en-US" w:eastAsia="zh-CN"/>
        </w:rPr>
      </w:pPr>
    </w:p>
    <w:p w14:paraId="0695B097">
      <w:pPr>
        <w:pStyle w:val="10"/>
        <w:rPr>
          <w:rFonts w:hint="eastAsia" w:ascii="宋体" w:hAnsi="宋体" w:cs="宋体"/>
          <w:b/>
          <w:color w:val="auto"/>
          <w:kern w:val="0"/>
          <w:sz w:val="28"/>
          <w:szCs w:val="28"/>
          <w:highlight w:val="none"/>
          <w:lang w:val="en-US" w:eastAsia="zh-CN"/>
        </w:rPr>
      </w:pPr>
    </w:p>
    <w:p w14:paraId="3B2C24AA">
      <w:pPr>
        <w:pStyle w:val="10"/>
        <w:rPr>
          <w:rFonts w:hint="eastAsia" w:ascii="宋体" w:hAnsi="宋体" w:cs="宋体"/>
          <w:b/>
          <w:color w:val="auto"/>
          <w:kern w:val="0"/>
          <w:sz w:val="28"/>
          <w:szCs w:val="28"/>
          <w:highlight w:val="none"/>
          <w:lang w:val="en-US" w:eastAsia="zh-CN"/>
        </w:rPr>
      </w:pPr>
    </w:p>
    <w:p w14:paraId="6FA8B498">
      <w:pPr>
        <w:pStyle w:val="10"/>
        <w:rPr>
          <w:rFonts w:hint="eastAsia" w:ascii="宋体" w:hAnsi="宋体" w:cs="宋体"/>
          <w:b/>
          <w:color w:val="auto"/>
          <w:kern w:val="0"/>
          <w:sz w:val="28"/>
          <w:szCs w:val="28"/>
          <w:highlight w:val="none"/>
          <w:lang w:val="en-US" w:eastAsia="zh-CN"/>
        </w:rPr>
      </w:pPr>
    </w:p>
    <w:p w14:paraId="71C2E0F0">
      <w:pPr>
        <w:pStyle w:val="10"/>
        <w:rPr>
          <w:rFonts w:hint="eastAsia" w:ascii="宋体" w:hAnsi="宋体" w:cs="宋体"/>
          <w:b/>
          <w:color w:val="auto"/>
          <w:kern w:val="0"/>
          <w:sz w:val="28"/>
          <w:szCs w:val="28"/>
          <w:highlight w:val="none"/>
          <w:lang w:val="en-US" w:eastAsia="zh-CN"/>
        </w:rPr>
      </w:pPr>
      <w:r>
        <w:rPr>
          <w:rFonts w:hint="eastAsia" w:ascii="宋体" w:hAnsi="宋体" w:cs="宋体"/>
          <w:b/>
          <w:color w:val="auto"/>
          <w:kern w:val="0"/>
          <w:sz w:val="28"/>
          <w:szCs w:val="28"/>
          <w:highlight w:val="none"/>
          <w:lang w:val="en-US" w:eastAsia="zh-CN"/>
        </w:rPr>
        <w:t>附件：</w:t>
      </w:r>
    </w:p>
    <w:p w14:paraId="43694EE3">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cs="宋体"/>
          <w:b/>
          <w:sz w:val="30"/>
          <w:szCs w:val="30"/>
        </w:rPr>
      </w:pPr>
      <w:r>
        <w:rPr>
          <w:rFonts w:hint="eastAsia" w:ascii="宋体" w:hAnsi="宋体" w:cs="宋体"/>
          <w:b/>
          <w:sz w:val="30"/>
          <w:szCs w:val="30"/>
          <w:lang w:val="en-US" w:eastAsia="zh-CN"/>
        </w:rPr>
        <w:t>启东市自来水厂有限公司远传水表2025-2026年度采购项目</w:t>
      </w:r>
    </w:p>
    <w:p w14:paraId="7699F6D1">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cs="宋体" w:eastAsiaTheme="minorEastAsia"/>
          <w:b/>
          <w:sz w:val="32"/>
          <w:szCs w:val="32"/>
          <w:lang w:val="en-US" w:eastAsia="zh-CN"/>
        </w:rPr>
      </w:pPr>
      <w:r>
        <w:rPr>
          <w:rFonts w:hint="eastAsia" w:ascii="宋体" w:hAnsi="宋体" w:cs="宋体"/>
          <w:b/>
          <w:sz w:val="32"/>
          <w:szCs w:val="32"/>
          <w:lang w:val="en-US" w:eastAsia="zh-CN"/>
        </w:rPr>
        <w:t>市场询价表</w:t>
      </w:r>
    </w:p>
    <w:tbl>
      <w:tblPr>
        <w:tblStyle w:val="20"/>
        <w:tblW w:w="9319"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27"/>
        <w:gridCol w:w="863"/>
        <w:gridCol w:w="2413"/>
        <w:gridCol w:w="804"/>
        <w:gridCol w:w="762"/>
        <w:gridCol w:w="846"/>
        <w:gridCol w:w="684"/>
        <w:gridCol w:w="816"/>
        <w:gridCol w:w="780"/>
        <w:gridCol w:w="924"/>
      </w:tblGrid>
      <w:tr w14:paraId="29162D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4FC083">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序号</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77ECE">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总项目名称</w:t>
            </w:r>
          </w:p>
        </w:tc>
        <w:tc>
          <w:tcPr>
            <w:tcW w:w="24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864DD">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材料名称</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2073A">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规格/型号</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227B0C">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单位</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D3166F">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数量</w:t>
            </w:r>
          </w:p>
        </w:tc>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E4201D">
            <w:pPr>
              <w:keepNext w:val="0"/>
              <w:keepLines w:val="0"/>
              <w:widowControl/>
              <w:suppressLineNumbers w:val="0"/>
              <w:jc w:val="center"/>
              <w:textAlignment w:val="center"/>
              <w:rPr>
                <w:rFonts w:hint="default"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报价</w:t>
            </w:r>
          </w:p>
          <w:p w14:paraId="3BBE628F">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品牌</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F0108A">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综合</w:t>
            </w:r>
          </w:p>
          <w:p w14:paraId="7F53524F">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单价        （元）</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0C99F3">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合计               （元）</w:t>
            </w: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86FD8">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备注</w:t>
            </w:r>
          </w:p>
        </w:tc>
      </w:tr>
      <w:tr w14:paraId="7B81B0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6190E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863"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99C9B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远传水表</w:t>
            </w:r>
          </w:p>
        </w:tc>
        <w:tc>
          <w:tcPr>
            <w:tcW w:w="2413" w:type="dxa"/>
            <w:tcBorders>
              <w:top w:val="single" w:color="000000" w:sz="4" w:space="0"/>
              <w:left w:val="single" w:color="000000" w:sz="4" w:space="0"/>
              <w:bottom w:val="single" w:color="000000" w:sz="4" w:space="0"/>
              <w:right w:val="nil"/>
            </w:tcBorders>
            <w:shd w:val="clear" w:color="auto" w:fill="auto"/>
            <w:vAlign w:val="center"/>
          </w:tcPr>
          <w:p w14:paraId="1825C2E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DN15 NB-IoT远传水表（含止回阀芯）</w:t>
            </w:r>
          </w:p>
        </w:tc>
        <w:tc>
          <w:tcPr>
            <w:tcW w:w="8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04D7E1">
            <w:pPr>
              <w:keepNext w:val="0"/>
              <w:keepLines w:val="0"/>
              <w:widowControl/>
              <w:suppressLineNumbers w:val="0"/>
              <w:jc w:val="center"/>
              <w:textAlignment w:val="center"/>
              <w:rPr>
                <w:rFonts w:hint="eastAsia" w:ascii="宋体" w:hAnsi="宋体" w:eastAsia="宋体" w:cs="宋体"/>
                <w:i w:val="0"/>
                <w:iCs w:val="0"/>
                <w:color w:val="333333"/>
                <w:sz w:val="21"/>
                <w:szCs w:val="21"/>
                <w:u w:val="none"/>
              </w:rPr>
            </w:pPr>
            <w:r>
              <w:rPr>
                <w:rFonts w:hint="eastAsia" w:ascii="宋体" w:hAnsi="宋体" w:eastAsia="宋体" w:cs="宋体"/>
                <w:i w:val="0"/>
                <w:iCs w:val="0"/>
                <w:color w:val="333333"/>
                <w:kern w:val="0"/>
                <w:sz w:val="21"/>
                <w:szCs w:val="21"/>
                <w:u w:val="none"/>
                <w:lang w:val="en-US" w:eastAsia="zh-CN" w:bidi="ar"/>
              </w:rPr>
              <w:t>DN15</w:t>
            </w:r>
          </w:p>
        </w:tc>
        <w:tc>
          <w:tcPr>
            <w:tcW w:w="76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A065F6">
            <w:pPr>
              <w:keepNext w:val="0"/>
              <w:keepLines w:val="0"/>
              <w:widowControl/>
              <w:suppressLineNumbers w:val="0"/>
              <w:jc w:val="center"/>
              <w:textAlignment w:val="center"/>
              <w:rPr>
                <w:rFonts w:hint="eastAsia" w:ascii="宋体" w:hAnsi="宋体" w:eastAsia="宋体" w:cs="宋体"/>
                <w:i w:val="0"/>
                <w:iCs w:val="0"/>
                <w:color w:val="333333"/>
                <w:sz w:val="21"/>
                <w:szCs w:val="21"/>
                <w:u w:val="none"/>
              </w:rPr>
            </w:pPr>
            <w:r>
              <w:rPr>
                <w:rFonts w:hint="eastAsia" w:ascii="宋体" w:hAnsi="宋体" w:eastAsia="宋体" w:cs="宋体"/>
                <w:i w:val="0"/>
                <w:iCs w:val="0"/>
                <w:color w:val="333333"/>
                <w:kern w:val="0"/>
                <w:sz w:val="21"/>
                <w:szCs w:val="21"/>
                <w:u w:val="none"/>
                <w:lang w:val="en-US" w:eastAsia="zh-CN" w:bidi="ar"/>
              </w:rPr>
              <w:t>台</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82E40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w:t>
            </w:r>
          </w:p>
        </w:tc>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97180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55FC9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DA5B7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924" w:type="dxa"/>
            <w:vMerge w:val="restart"/>
            <w:tcBorders>
              <w:top w:val="single" w:color="000000" w:sz="4" w:space="0"/>
              <w:left w:val="single" w:color="000000" w:sz="4" w:space="0"/>
              <w:right w:val="single" w:color="000000" w:sz="4" w:space="0"/>
            </w:tcBorders>
            <w:shd w:val="clear" w:color="auto" w:fill="auto"/>
            <w:noWrap/>
            <w:vAlign w:val="center"/>
          </w:tcPr>
          <w:p w14:paraId="445921A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含13%增值税、含运费、含卸货费等全部费用</w:t>
            </w:r>
          </w:p>
        </w:tc>
      </w:tr>
      <w:tr w14:paraId="1074F2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D152E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86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D8BCD">
            <w:pPr>
              <w:jc w:val="center"/>
              <w:rPr>
                <w:rFonts w:hint="eastAsia" w:ascii="宋体" w:hAnsi="宋体" w:eastAsia="宋体" w:cs="宋体"/>
                <w:i w:val="0"/>
                <w:iCs w:val="0"/>
                <w:color w:val="000000"/>
                <w:sz w:val="21"/>
                <w:szCs w:val="21"/>
                <w:u w:val="none"/>
              </w:rPr>
            </w:pPr>
          </w:p>
        </w:tc>
        <w:tc>
          <w:tcPr>
            <w:tcW w:w="2413" w:type="dxa"/>
            <w:tcBorders>
              <w:top w:val="single" w:color="000000" w:sz="4" w:space="0"/>
              <w:left w:val="single" w:color="000000" w:sz="4" w:space="0"/>
              <w:bottom w:val="single" w:color="000000" w:sz="4" w:space="0"/>
              <w:right w:val="nil"/>
            </w:tcBorders>
            <w:shd w:val="clear" w:color="auto" w:fill="auto"/>
            <w:vAlign w:val="center"/>
          </w:tcPr>
          <w:p w14:paraId="03F1F65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DN20 NB-IoT远传水表（含止回阀芯、球墨铸铁材质）</w:t>
            </w:r>
          </w:p>
        </w:tc>
        <w:tc>
          <w:tcPr>
            <w:tcW w:w="8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D595D7">
            <w:pPr>
              <w:keepNext w:val="0"/>
              <w:keepLines w:val="0"/>
              <w:widowControl/>
              <w:suppressLineNumbers w:val="0"/>
              <w:jc w:val="center"/>
              <w:textAlignment w:val="center"/>
              <w:rPr>
                <w:rFonts w:hint="eastAsia" w:ascii="宋体" w:hAnsi="宋体" w:eastAsia="宋体" w:cs="宋体"/>
                <w:i w:val="0"/>
                <w:iCs w:val="0"/>
                <w:color w:val="333333"/>
                <w:sz w:val="21"/>
                <w:szCs w:val="21"/>
                <w:u w:val="none"/>
              </w:rPr>
            </w:pPr>
            <w:r>
              <w:rPr>
                <w:rFonts w:hint="eastAsia" w:ascii="宋体" w:hAnsi="宋体" w:eastAsia="宋体" w:cs="宋体"/>
                <w:i w:val="0"/>
                <w:iCs w:val="0"/>
                <w:color w:val="333333"/>
                <w:kern w:val="0"/>
                <w:sz w:val="21"/>
                <w:szCs w:val="21"/>
                <w:u w:val="none"/>
                <w:lang w:val="en-US" w:eastAsia="zh-CN" w:bidi="ar"/>
              </w:rPr>
              <w:t>DN20</w:t>
            </w:r>
          </w:p>
        </w:tc>
        <w:tc>
          <w:tcPr>
            <w:tcW w:w="76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B35C68">
            <w:pPr>
              <w:keepNext w:val="0"/>
              <w:keepLines w:val="0"/>
              <w:widowControl/>
              <w:suppressLineNumbers w:val="0"/>
              <w:jc w:val="center"/>
              <w:textAlignment w:val="center"/>
              <w:rPr>
                <w:rFonts w:hint="eastAsia" w:ascii="宋体" w:hAnsi="宋体" w:eastAsia="宋体" w:cs="宋体"/>
                <w:i w:val="0"/>
                <w:iCs w:val="0"/>
                <w:color w:val="333333"/>
                <w:sz w:val="21"/>
                <w:szCs w:val="21"/>
                <w:u w:val="none"/>
              </w:rPr>
            </w:pPr>
            <w:r>
              <w:rPr>
                <w:rFonts w:hint="eastAsia" w:ascii="宋体" w:hAnsi="宋体" w:eastAsia="宋体" w:cs="宋体"/>
                <w:i w:val="0"/>
                <w:iCs w:val="0"/>
                <w:color w:val="333333"/>
                <w:kern w:val="0"/>
                <w:sz w:val="21"/>
                <w:szCs w:val="21"/>
                <w:u w:val="none"/>
                <w:lang w:val="en-US" w:eastAsia="zh-CN" w:bidi="ar"/>
              </w:rPr>
              <w:t>台</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A48CF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10000</w:t>
            </w:r>
          </w:p>
        </w:tc>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C14942">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09BDE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7A1C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924" w:type="dxa"/>
            <w:vMerge w:val="continue"/>
            <w:tcBorders>
              <w:left w:val="single" w:color="000000" w:sz="4" w:space="0"/>
              <w:right w:val="single" w:color="000000" w:sz="4" w:space="0"/>
            </w:tcBorders>
            <w:shd w:val="clear" w:color="auto" w:fill="auto"/>
            <w:noWrap/>
            <w:vAlign w:val="center"/>
          </w:tcPr>
          <w:p w14:paraId="1279892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27F7A6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E6357E">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w:t>
            </w:r>
          </w:p>
        </w:tc>
        <w:tc>
          <w:tcPr>
            <w:tcW w:w="86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2D121F">
            <w:pPr>
              <w:jc w:val="center"/>
              <w:rPr>
                <w:rFonts w:hint="eastAsia" w:ascii="宋体" w:hAnsi="宋体" w:eastAsia="宋体" w:cs="宋体"/>
                <w:i w:val="0"/>
                <w:iCs w:val="0"/>
                <w:color w:val="000000"/>
                <w:sz w:val="21"/>
                <w:szCs w:val="21"/>
                <w:u w:val="none"/>
              </w:rPr>
            </w:pPr>
          </w:p>
        </w:tc>
        <w:tc>
          <w:tcPr>
            <w:tcW w:w="2413" w:type="dxa"/>
            <w:tcBorders>
              <w:top w:val="single" w:color="000000" w:sz="4" w:space="0"/>
              <w:left w:val="single" w:color="000000" w:sz="4" w:space="0"/>
              <w:bottom w:val="single" w:color="000000" w:sz="4" w:space="0"/>
              <w:right w:val="nil"/>
            </w:tcBorders>
            <w:shd w:val="clear" w:color="auto" w:fill="auto"/>
            <w:vAlign w:val="center"/>
          </w:tcPr>
          <w:p w14:paraId="5E9EFDD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DN20 NB-IoT远传水表（含止回阀芯、不锈钢材质）</w:t>
            </w:r>
          </w:p>
        </w:tc>
        <w:tc>
          <w:tcPr>
            <w:tcW w:w="8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A3EE61">
            <w:pPr>
              <w:keepNext w:val="0"/>
              <w:keepLines w:val="0"/>
              <w:widowControl/>
              <w:suppressLineNumbers w:val="0"/>
              <w:jc w:val="center"/>
              <w:textAlignment w:val="center"/>
              <w:rPr>
                <w:rFonts w:hint="eastAsia" w:ascii="宋体" w:hAnsi="宋体" w:eastAsia="宋体" w:cs="宋体"/>
                <w:i w:val="0"/>
                <w:iCs w:val="0"/>
                <w:color w:val="333333"/>
                <w:kern w:val="2"/>
                <w:sz w:val="21"/>
                <w:szCs w:val="21"/>
                <w:u w:val="none"/>
                <w:lang w:val="en-US" w:eastAsia="zh-CN" w:bidi="ar-SA"/>
              </w:rPr>
            </w:pPr>
            <w:r>
              <w:rPr>
                <w:rFonts w:hint="eastAsia" w:ascii="宋体" w:hAnsi="宋体" w:eastAsia="宋体" w:cs="宋体"/>
                <w:i w:val="0"/>
                <w:iCs w:val="0"/>
                <w:color w:val="333333"/>
                <w:kern w:val="0"/>
                <w:sz w:val="21"/>
                <w:szCs w:val="21"/>
                <w:u w:val="none"/>
                <w:lang w:val="en-US" w:eastAsia="zh-CN" w:bidi="ar"/>
              </w:rPr>
              <w:t>DN20</w:t>
            </w:r>
          </w:p>
        </w:tc>
        <w:tc>
          <w:tcPr>
            <w:tcW w:w="76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2AAC9F0">
            <w:pPr>
              <w:keepNext w:val="0"/>
              <w:keepLines w:val="0"/>
              <w:widowControl/>
              <w:suppressLineNumbers w:val="0"/>
              <w:jc w:val="center"/>
              <w:textAlignment w:val="center"/>
              <w:rPr>
                <w:rFonts w:hint="eastAsia" w:ascii="宋体" w:hAnsi="宋体" w:eastAsia="宋体" w:cs="宋体"/>
                <w:i w:val="0"/>
                <w:iCs w:val="0"/>
                <w:color w:val="333333"/>
                <w:kern w:val="2"/>
                <w:sz w:val="21"/>
                <w:szCs w:val="21"/>
                <w:u w:val="none"/>
                <w:lang w:val="en-US" w:eastAsia="zh-CN" w:bidi="ar-SA"/>
              </w:rPr>
            </w:pPr>
            <w:r>
              <w:rPr>
                <w:rFonts w:hint="eastAsia" w:ascii="宋体" w:hAnsi="宋体" w:eastAsia="宋体" w:cs="宋体"/>
                <w:i w:val="0"/>
                <w:iCs w:val="0"/>
                <w:color w:val="333333"/>
                <w:kern w:val="0"/>
                <w:sz w:val="21"/>
                <w:szCs w:val="21"/>
                <w:u w:val="none"/>
                <w:lang w:val="en-US" w:eastAsia="zh-CN" w:bidi="ar"/>
              </w:rPr>
              <w:t>台</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8A00F1">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10000</w:t>
            </w:r>
          </w:p>
        </w:tc>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97294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77CD0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BB989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924" w:type="dxa"/>
            <w:vMerge w:val="continue"/>
            <w:tcBorders>
              <w:left w:val="single" w:color="000000" w:sz="4" w:space="0"/>
              <w:right w:val="single" w:color="000000" w:sz="4" w:space="0"/>
            </w:tcBorders>
            <w:shd w:val="clear" w:color="auto" w:fill="auto"/>
            <w:noWrap/>
            <w:vAlign w:val="center"/>
          </w:tcPr>
          <w:p w14:paraId="74C2AB0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6322CF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FB3AB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86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56699E">
            <w:pPr>
              <w:jc w:val="center"/>
              <w:rPr>
                <w:rFonts w:hint="eastAsia" w:ascii="宋体" w:hAnsi="宋体" w:eastAsia="宋体" w:cs="宋体"/>
                <w:i w:val="0"/>
                <w:iCs w:val="0"/>
                <w:color w:val="000000"/>
                <w:sz w:val="21"/>
                <w:szCs w:val="21"/>
                <w:u w:val="none"/>
              </w:rPr>
            </w:pPr>
          </w:p>
        </w:tc>
        <w:tc>
          <w:tcPr>
            <w:tcW w:w="2413" w:type="dxa"/>
            <w:tcBorders>
              <w:top w:val="single" w:color="000000" w:sz="4" w:space="0"/>
              <w:left w:val="single" w:color="000000" w:sz="4" w:space="0"/>
              <w:bottom w:val="single" w:color="000000" w:sz="4" w:space="0"/>
              <w:right w:val="nil"/>
            </w:tcBorders>
            <w:shd w:val="clear" w:color="auto" w:fill="auto"/>
            <w:vAlign w:val="center"/>
          </w:tcPr>
          <w:p w14:paraId="65BC54D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DN25 NB-IoT远传水表（含止回阀芯）</w:t>
            </w:r>
          </w:p>
        </w:tc>
        <w:tc>
          <w:tcPr>
            <w:tcW w:w="8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D34F117">
            <w:pPr>
              <w:keepNext w:val="0"/>
              <w:keepLines w:val="0"/>
              <w:widowControl/>
              <w:suppressLineNumbers w:val="0"/>
              <w:jc w:val="center"/>
              <w:textAlignment w:val="center"/>
              <w:rPr>
                <w:rFonts w:hint="eastAsia" w:ascii="宋体" w:hAnsi="宋体" w:eastAsia="宋体" w:cs="宋体"/>
                <w:i w:val="0"/>
                <w:iCs w:val="0"/>
                <w:color w:val="333333"/>
                <w:sz w:val="21"/>
                <w:szCs w:val="21"/>
                <w:u w:val="none"/>
              </w:rPr>
            </w:pPr>
            <w:r>
              <w:rPr>
                <w:rFonts w:hint="eastAsia" w:ascii="宋体" w:hAnsi="宋体" w:eastAsia="宋体" w:cs="宋体"/>
                <w:i w:val="0"/>
                <w:iCs w:val="0"/>
                <w:color w:val="333333"/>
                <w:kern w:val="0"/>
                <w:sz w:val="21"/>
                <w:szCs w:val="21"/>
                <w:u w:val="none"/>
                <w:lang w:val="en-US" w:eastAsia="zh-CN" w:bidi="ar"/>
              </w:rPr>
              <w:t>DN25</w:t>
            </w:r>
          </w:p>
        </w:tc>
        <w:tc>
          <w:tcPr>
            <w:tcW w:w="76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756FAC">
            <w:pPr>
              <w:keepNext w:val="0"/>
              <w:keepLines w:val="0"/>
              <w:widowControl/>
              <w:suppressLineNumbers w:val="0"/>
              <w:jc w:val="center"/>
              <w:textAlignment w:val="center"/>
              <w:rPr>
                <w:rFonts w:hint="eastAsia" w:ascii="宋体" w:hAnsi="宋体" w:eastAsia="宋体" w:cs="宋体"/>
                <w:i w:val="0"/>
                <w:iCs w:val="0"/>
                <w:color w:val="333333"/>
                <w:sz w:val="21"/>
                <w:szCs w:val="21"/>
                <w:u w:val="none"/>
              </w:rPr>
            </w:pPr>
            <w:r>
              <w:rPr>
                <w:rFonts w:hint="eastAsia" w:ascii="宋体" w:hAnsi="宋体" w:eastAsia="宋体" w:cs="宋体"/>
                <w:i w:val="0"/>
                <w:iCs w:val="0"/>
                <w:color w:val="333333"/>
                <w:kern w:val="0"/>
                <w:sz w:val="21"/>
                <w:szCs w:val="21"/>
                <w:u w:val="none"/>
                <w:lang w:val="en-US" w:eastAsia="zh-CN" w:bidi="ar"/>
              </w:rPr>
              <w:t>台</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68387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DD094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69928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71635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924" w:type="dxa"/>
            <w:vMerge w:val="continue"/>
            <w:tcBorders>
              <w:left w:val="single" w:color="000000" w:sz="4" w:space="0"/>
              <w:right w:val="single" w:color="000000" w:sz="4" w:space="0"/>
            </w:tcBorders>
            <w:shd w:val="clear" w:color="auto" w:fill="auto"/>
            <w:noWrap/>
            <w:vAlign w:val="center"/>
          </w:tcPr>
          <w:p w14:paraId="68D5945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6BC6CA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1832C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86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F95A98">
            <w:pPr>
              <w:jc w:val="center"/>
              <w:rPr>
                <w:rFonts w:hint="eastAsia" w:ascii="宋体" w:hAnsi="宋体" w:eastAsia="宋体" w:cs="宋体"/>
                <w:i w:val="0"/>
                <w:iCs w:val="0"/>
                <w:color w:val="000000"/>
                <w:sz w:val="21"/>
                <w:szCs w:val="21"/>
                <w:u w:val="none"/>
              </w:rPr>
            </w:pPr>
          </w:p>
        </w:tc>
        <w:tc>
          <w:tcPr>
            <w:tcW w:w="2413" w:type="dxa"/>
            <w:tcBorders>
              <w:top w:val="single" w:color="000000" w:sz="4" w:space="0"/>
              <w:left w:val="single" w:color="000000" w:sz="4" w:space="0"/>
              <w:bottom w:val="single" w:color="000000" w:sz="4" w:space="0"/>
              <w:right w:val="nil"/>
            </w:tcBorders>
            <w:shd w:val="clear" w:color="auto" w:fill="FFFFFF"/>
            <w:noWrap/>
            <w:vAlign w:val="center"/>
          </w:tcPr>
          <w:p w14:paraId="18510B5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DN40 NB-IoT远传水表</w:t>
            </w:r>
          </w:p>
        </w:tc>
        <w:tc>
          <w:tcPr>
            <w:tcW w:w="8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93F7C7">
            <w:pPr>
              <w:keepNext w:val="0"/>
              <w:keepLines w:val="0"/>
              <w:widowControl/>
              <w:suppressLineNumbers w:val="0"/>
              <w:jc w:val="center"/>
              <w:textAlignment w:val="center"/>
              <w:rPr>
                <w:rFonts w:hint="eastAsia" w:ascii="宋体" w:hAnsi="宋体" w:eastAsia="宋体" w:cs="宋体"/>
                <w:i w:val="0"/>
                <w:iCs w:val="0"/>
                <w:color w:val="333333"/>
                <w:sz w:val="21"/>
                <w:szCs w:val="21"/>
                <w:u w:val="none"/>
              </w:rPr>
            </w:pPr>
            <w:r>
              <w:rPr>
                <w:rFonts w:hint="eastAsia" w:ascii="宋体" w:hAnsi="宋体" w:eastAsia="宋体" w:cs="宋体"/>
                <w:i w:val="0"/>
                <w:iCs w:val="0"/>
                <w:color w:val="333333"/>
                <w:kern w:val="0"/>
                <w:sz w:val="21"/>
                <w:szCs w:val="21"/>
                <w:u w:val="none"/>
                <w:lang w:val="en-US" w:eastAsia="zh-CN" w:bidi="ar"/>
              </w:rPr>
              <w:t>DN40</w:t>
            </w:r>
          </w:p>
        </w:tc>
        <w:tc>
          <w:tcPr>
            <w:tcW w:w="76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6DE9C0">
            <w:pPr>
              <w:keepNext w:val="0"/>
              <w:keepLines w:val="0"/>
              <w:widowControl/>
              <w:suppressLineNumbers w:val="0"/>
              <w:jc w:val="center"/>
              <w:textAlignment w:val="center"/>
              <w:rPr>
                <w:rFonts w:hint="eastAsia" w:ascii="宋体" w:hAnsi="宋体" w:eastAsia="宋体" w:cs="宋体"/>
                <w:i w:val="0"/>
                <w:iCs w:val="0"/>
                <w:color w:val="333333"/>
                <w:sz w:val="21"/>
                <w:szCs w:val="21"/>
                <w:u w:val="none"/>
              </w:rPr>
            </w:pPr>
            <w:r>
              <w:rPr>
                <w:rFonts w:hint="eastAsia" w:ascii="宋体" w:hAnsi="宋体" w:eastAsia="宋体" w:cs="宋体"/>
                <w:i w:val="0"/>
                <w:iCs w:val="0"/>
                <w:color w:val="333333"/>
                <w:kern w:val="0"/>
                <w:sz w:val="21"/>
                <w:szCs w:val="21"/>
                <w:u w:val="none"/>
                <w:lang w:val="en-US" w:eastAsia="zh-CN" w:bidi="ar"/>
              </w:rPr>
              <w:t>台</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A77EF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0DCD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D4189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13B53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924" w:type="dxa"/>
            <w:vMerge w:val="continue"/>
            <w:tcBorders>
              <w:left w:val="single" w:color="000000" w:sz="4" w:space="0"/>
              <w:right w:val="single" w:color="000000" w:sz="4" w:space="0"/>
            </w:tcBorders>
            <w:shd w:val="clear" w:color="auto" w:fill="auto"/>
            <w:noWrap/>
            <w:vAlign w:val="center"/>
          </w:tcPr>
          <w:p w14:paraId="61E0C8C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616CBF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4BE93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86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66EEB1">
            <w:pPr>
              <w:jc w:val="center"/>
              <w:rPr>
                <w:rFonts w:hint="eastAsia" w:ascii="宋体" w:hAnsi="宋体" w:eastAsia="宋体" w:cs="宋体"/>
                <w:i w:val="0"/>
                <w:iCs w:val="0"/>
                <w:color w:val="000000"/>
                <w:sz w:val="21"/>
                <w:szCs w:val="21"/>
                <w:u w:val="none"/>
              </w:rPr>
            </w:pPr>
          </w:p>
        </w:tc>
        <w:tc>
          <w:tcPr>
            <w:tcW w:w="2413" w:type="dxa"/>
            <w:tcBorders>
              <w:top w:val="single" w:color="000000" w:sz="4" w:space="0"/>
              <w:left w:val="single" w:color="000000" w:sz="4" w:space="0"/>
              <w:bottom w:val="single" w:color="000000" w:sz="4" w:space="0"/>
              <w:right w:val="nil"/>
            </w:tcBorders>
            <w:shd w:val="clear" w:color="auto" w:fill="FFFFFF"/>
            <w:noWrap/>
            <w:vAlign w:val="center"/>
          </w:tcPr>
          <w:p w14:paraId="110613C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DN50 NB-IoT远传水表</w:t>
            </w:r>
          </w:p>
        </w:tc>
        <w:tc>
          <w:tcPr>
            <w:tcW w:w="8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0A6435">
            <w:pPr>
              <w:keepNext w:val="0"/>
              <w:keepLines w:val="0"/>
              <w:widowControl/>
              <w:suppressLineNumbers w:val="0"/>
              <w:jc w:val="center"/>
              <w:textAlignment w:val="center"/>
              <w:rPr>
                <w:rFonts w:hint="eastAsia" w:ascii="宋体" w:hAnsi="宋体" w:eastAsia="宋体" w:cs="宋体"/>
                <w:i w:val="0"/>
                <w:iCs w:val="0"/>
                <w:color w:val="333333"/>
                <w:sz w:val="21"/>
                <w:szCs w:val="21"/>
                <w:u w:val="none"/>
              </w:rPr>
            </w:pPr>
            <w:r>
              <w:rPr>
                <w:rFonts w:hint="eastAsia" w:ascii="宋体" w:hAnsi="宋体" w:eastAsia="宋体" w:cs="宋体"/>
                <w:i w:val="0"/>
                <w:iCs w:val="0"/>
                <w:color w:val="333333"/>
                <w:kern w:val="0"/>
                <w:sz w:val="21"/>
                <w:szCs w:val="21"/>
                <w:u w:val="none"/>
                <w:lang w:val="en-US" w:eastAsia="zh-CN" w:bidi="ar"/>
              </w:rPr>
              <w:t>DN50</w:t>
            </w:r>
          </w:p>
        </w:tc>
        <w:tc>
          <w:tcPr>
            <w:tcW w:w="76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C276AE0">
            <w:pPr>
              <w:keepNext w:val="0"/>
              <w:keepLines w:val="0"/>
              <w:widowControl/>
              <w:suppressLineNumbers w:val="0"/>
              <w:jc w:val="center"/>
              <w:textAlignment w:val="center"/>
              <w:rPr>
                <w:rFonts w:hint="eastAsia" w:ascii="宋体" w:hAnsi="宋体" w:eastAsia="宋体" w:cs="宋体"/>
                <w:i w:val="0"/>
                <w:iCs w:val="0"/>
                <w:color w:val="333333"/>
                <w:sz w:val="21"/>
                <w:szCs w:val="21"/>
                <w:u w:val="none"/>
              </w:rPr>
            </w:pPr>
            <w:r>
              <w:rPr>
                <w:rFonts w:hint="eastAsia" w:ascii="宋体" w:hAnsi="宋体" w:eastAsia="宋体" w:cs="宋体"/>
                <w:i w:val="0"/>
                <w:iCs w:val="0"/>
                <w:color w:val="333333"/>
                <w:kern w:val="0"/>
                <w:sz w:val="21"/>
                <w:szCs w:val="21"/>
                <w:u w:val="none"/>
                <w:lang w:val="en-US" w:eastAsia="zh-CN" w:bidi="ar"/>
              </w:rPr>
              <w:t>台</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19951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w:t>
            </w:r>
          </w:p>
        </w:tc>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3ABE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EB6D5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97DDD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924" w:type="dxa"/>
            <w:vMerge w:val="continue"/>
            <w:tcBorders>
              <w:left w:val="single" w:color="000000" w:sz="4" w:space="0"/>
              <w:right w:val="single" w:color="000000" w:sz="4" w:space="0"/>
            </w:tcBorders>
            <w:shd w:val="clear" w:color="auto" w:fill="auto"/>
            <w:noWrap/>
            <w:vAlign w:val="center"/>
          </w:tcPr>
          <w:p w14:paraId="5E3FFB32">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67733C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EF2A7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86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4B19EC">
            <w:pPr>
              <w:jc w:val="center"/>
              <w:rPr>
                <w:rFonts w:hint="eastAsia" w:ascii="宋体" w:hAnsi="宋体" w:eastAsia="宋体" w:cs="宋体"/>
                <w:i w:val="0"/>
                <w:iCs w:val="0"/>
                <w:color w:val="000000"/>
                <w:sz w:val="21"/>
                <w:szCs w:val="21"/>
                <w:u w:val="none"/>
              </w:rPr>
            </w:pPr>
          </w:p>
        </w:tc>
        <w:tc>
          <w:tcPr>
            <w:tcW w:w="2413" w:type="dxa"/>
            <w:tcBorders>
              <w:top w:val="single" w:color="000000" w:sz="4" w:space="0"/>
              <w:left w:val="single" w:color="000000" w:sz="4" w:space="0"/>
              <w:bottom w:val="single" w:color="000000" w:sz="4" w:space="0"/>
              <w:right w:val="nil"/>
            </w:tcBorders>
            <w:shd w:val="clear" w:color="auto" w:fill="FFFFFF"/>
            <w:noWrap/>
            <w:vAlign w:val="center"/>
          </w:tcPr>
          <w:p w14:paraId="06FCFEE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DN100 NB-IoT远传水表</w:t>
            </w:r>
          </w:p>
        </w:tc>
        <w:tc>
          <w:tcPr>
            <w:tcW w:w="80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31A4E6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DN100</w:t>
            </w:r>
          </w:p>
        </w:tc>
        <w:tc>
          <w:tcPr>
            <w:tcW w:w="76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F3F8B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35BC7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w:t>
            </w:r>
          </w:p>
        </w:tc>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EF5C5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80ADA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56B3E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924" w:type="dxa"/>
            <w:vMerge w:val="continue"/>
            <w:tcBorders>
              <w:left w:val="single" w:color="000000" w:sz="4" w:space="0"/>
              <w:right w:val="single" w:color="000000" w:sz="4" w:space="0"/>
            </w:tcBorders>
            <w:shd w:val="clear" w:color="auto" w:fill="auto"/>
            <w:noWrap/>
            <w:vAlign w:val="center"/>
          </w:tcPr>
          <w:p w14:paraId="16E76F6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27F0E3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281C8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86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C8520B">
            <w:pPr>
              <w:jc w:val="center"/>
              <w:rPr>
                <w:rFonts w:hint="eastAsia" w:ascii="宋体" w:hAnsi="宋体" w:eastAsia="宋体" w:cs="宋体"/>
                <w:i w:val="0"/>
                <w:iCs w:val="0"/>
                <w:color w:val="000000"/>
                <w:sz w:val="21"/>
                <w:szCs w:val="21"/>
                <w:u w:val="none"/>
              </w:rPr>
            </w:pPr>
          </w:p>
        </w:tc>
        <w:tc>
          <w:tcPr>
            <w:tcW w:w="2413" w:type="dxa"/>
            <w:tcBorders>
              <w:top w:val="single" w:color="000000" w:sz="4" w:space="0"/>
              <w:left w:val="single" w:color="000000" w:sz="4" w:space="0"/>
              <w:bottom w:val="single" w:color="000000" w:sz="4" w:space="0"/>
              <w:right w:val="nil"/>
            </w:tcBorders>
            <w:shd w:val="clear" w:color="auto" w:fill="FFFFFF"/>
            <w:noWrap/>
            <w:vAlign w:val="center"/>
          </w:tcPr>
          <w:p w14:paraId="599DFED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DN150 NB-IoT远传水表</w:t>
            </w:r>
          </w:p>
        </w:tc>
        <w:tc>
          <w:tcPr>
            <w:tcW w:w="80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87FBA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DN150</w:t>
            </w:r>
          </w:p>
        </w:tc>
        <w:tc>
          <w:tcPr>
            <w:tcW w:w="76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663B3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0682B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3A1A42">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5B41F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A8DA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924" w:type="dxa"/>
            <w:vMerge w:val="continue"/>
            <w:tcBorders>
              <w:left w:val="single" w:color="000000" w:sz="4" w:space="0"/>
              <w:right w:val="single" w:color="000000" w:sz="4" w:space="0"/>
            </w:tcBorders>
            <w:shd w:val="clear" w:color="auto" w:fill="auto"/>
            <w:noWrap/>
            <w:vAlign w:val="center"/>
          </w:tcPr>
          <w:p w14:paraId="0D1E881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1C2B4A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82FC5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86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43C278">
            <w:pPr>
              <w:jc w:val="center"/>
              <w:rPr>
                <w:rFonts w:hint="eastAsia" w:ascii="宋体" w:hAnsi="宋体" w:eastAsia="宋体" w:cs="宋体"/>
                <w:i w:val="0"/>
                <w:iCs w:val="0"/>
                <w:color w:val="000000"/>
                <w:sz w:val="21"/>
                <w:szCs w:val="21"/>
                <w:u w:val="none"/>
              </w:rPr>
            </w:pPr>
          </w:p>
        </w:tc>
        <w:tc>
          <w:tcPr>
            <w:tcW w:w="2413" w:type="dxa"/>
            <w:tcBorders>
              <w:top w:val="single" w:color="000000" w:sz="4" w:space="0"/>
              <w:left w:val="single" w:color="000000" w:sz="4" w:space="0"/>
              <w:bottom w:val="single" w:color="000000" w:sz="4" w:space="0"/>
              <w:right w:val="nil"/>
            </w:tcBorders>
            <w:shd w:val="clear" w:color="auto" w:fill="FFFFFF"/>
            <w:noWrap/>
            <w:vAlign w:val="center"/>
          </w:tcPr>
          <w:p w14:paraId="713A207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DN200 NB-IoT远传水表</w:t>
            </w:r>
          </w:p>
        </w:tc>
        <w:tc>
          <w:tcPr>
            <w:tcW w:w="80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AD412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DN200</w:t>
            </w:r>
          </w:p>
        </w:tc>
        <w:tc>
          <w:tcPr>
            <w:tcW w:w="76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321CD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1A8DB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BABD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4AF6E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9FAC0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924" w:type="dxa"/>
            <w:vMerge w:val="continue"/>
            <w:tcBorders>
              <w:left w:val="single" w:color="000000" w:sz="4" w:space="0"/>
              <w:right w:val="single" w:color="000000" w:sz="4" w:space="0"/>
            </w:tcBorders>
            <w:shd w:val="clear" w:color="auto" w:fill="auto"/>
            <w:noWrap/>
            <w:vAlign w:val="center"/>
          </w:tcPr>
          <w:p w14:paraId="773CC83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118A55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FD3B6C">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10</w:t>
            </w:r>
          </w:p>
        </w:tc>
        <w:tc>
          <w:tcPr>
            <w:tcW w:w="86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180DF0">
            <w:pPr>
              <w:jc w:val="center"/>
              <w:rPr>
                <w:rFonts w:hint="eastAsia" w:ascii="宋体" w:hAnsi="宋体" w:eastAsia="宋体" w:cs="宋体"/>
                <w:i w:val="0"/>
                <w:iCs w:val="0"/>
                <w:color w:val="000000"/>
                <w:sz w:val="21"/>
                <w:szCs w:val="21"/>
                <w:u w:val="none"/>
              </w:rPr>
            </w:pPr>
          </w:p>
        </w:tc>
        <w:tc>
          <w:tcPr>
            <w:tcW w:w="2413" w:type="dxa"/>
            <w:tcBorders>
              <w:top w:val="single" w:color="000000" w:sz="4" w:space="0"/>
              <w:left w:val="single" w:color="000000" w:sz="4" w:space="0"/>
              <w:bottom w:val="single" w:color="000000" w:sz="4" w:space="0"/>
              <w:right w:val="nil"/>
            </w:tcBorders>
            <w:shd w:val="clear" w:color="auto" w:fill="FFFFFF"/>
            <w:noWrap/>
            <w:vAlign w:val="center"/>
          </w:tcPr>
          <w:p w14:paraId="186B58F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DN20远传水表（地井）</w:t>
            </w:r>
          </w:p>
        </w:tc>
        <w:tc>
          <w:tcPr>
            <w:tcW w:w="80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F5BA3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DN20</w:t>
            </w:r>
          </w:p>
        </w:tc>
        <w:tc>
          <w:tcPr>
            <w:tcW w:w="76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8CA5D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68F89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07E12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5BA7B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0F0C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924" w:type="dxa"/>
            <w:vMerge w:val="continue"/>
            <w:tcBorders>
              <w:left w:val="single" w:color="000000" w:sz="4" w:space="0"/>
              <w:right w:val="single" w:color="000000" w:sz="4" w:space="0"/>
            </w:tcBorders>
            <w:shd w:val="clear" w:color="auto" w:fill="auto"/>
            <w:noWrap/>
            <w:vAlign w:val="center"/>
          </w:tcPr>
          <w:p w14:paraId="46E2C71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21BCC9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3FF22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86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4BE3E7">
            <w:pPr>
              <w:jc w:val="center"/>
              <w:rPr>
                <w:rFonts w:hint="eastAsia" w:ascii="宋体" w:hAnsi="宋体" w:eastAsia="宋体" w:cs="宋体"/>
                <w:i w:val="0"/>
                <w:iCs w:val="0"/>
                <w:color w:val="000000"/>
                <w:sz w:val="21"/>
                <w:szCs w:val="21"/>
                <w:u w:val="none"/>
              </w:rPr>
            </w:pPr>
          </w:p>
        </w:tc>
        <w:tc>
          <w:tcPr>
            <w:tcW w:w="2413" w:type="dxa"/>
            <w:tcBorders>
              <w:top w:val="single" w:color="000000" w:sz="4" w:space="0"/>
              <w:left w:val="single" w:color="000000" w:sz="4" w:space="0"/>
              <w:bottom w:val="single" w:color="000000" w:sz="4" w:space="0"/>
              <w:right w:val="nil"/>
            </w:tcBorders>
            <w:shd w:val="clear" w:color="auto" w:fill="FFFFFF"/>
            <w:noWrap/>
            <w:vAlign w:val="center"/>
          </w:tcPr>
          <w:p w14:paraId="6275FB4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DN25远传水表（地井）</w:t>
            </w:r>
          </w:p>
        </w:tc>
        <w:tc>
          <w:tcPr>
            <w:tcW w:w="80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D4B57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DN25</w:t>
            </w:r>
          </w:p>
        </w:tc>
        <w:tc>
          <w:tcPr>
            <w:tcW w:w="76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87923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FF3F2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BB2D0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2C7A0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670AA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924" w:type="dxa"/>
            <w:vMerge w:val="continue"/>
            <w:tcBorders>
              <w:left w:val="single" w:color="000000" w:sz="4" w:space="0"/>
              <w:right w:val="single" w:color="000000" w:sz="4" w:space="0"/>
            </w:tcBorders>
            <w:shd w:val="clear" w:color="auto" w:fill="auto"/>
            <w:noWrap/>
            <w:vAlign w:val="center"/>
          </w:tcPr>
          <w:p w14:paraId="3B41C8E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728DA9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34CF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86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A8A0DF">
            <w:pPr>
              <w:jc w:val="center"/>
              <w:rPr>
                <w:rFonts w:hint="eastAsia" w:ascii="宋体" w:hAnsi="宋体" w:eastAsia="宋体" w:cs="宋体"/>
                <w:i w:val="0"/>
                <w:iCs w:val="0"/>
                <w:color w:val="000000"/>
                <w:sz w:val="21"/>
                <w:szCs w:val="21"/>
                <w:u w:val="none"/>
              </w:rPr>
            </w:pPr>
          </w:p>
        </w:tc>
        <w:tc>
          <w:tcPr>
            <w:tcW w:w="2413" w:type="dxa"/>
            <w:tcBorders>
              <w:top w:val="single" w:color="000000" w:sz="4" w:space="0"/>
              <w:left w:val="single" w:color="000000" w:sz="4" w:space="0"/>
              <w:bottom w:val="single" w:color="000000" w:sz="4" w:space="0"/>
              <w:right w:val="nil"/>
            </w:tcBorders>
            <w:shd w:val="clear" w:color="auto" w:fill="FFFFFF"/>
            <w:noWrap/>
            <w:vAlign w:val="center"/>
          </w:tcPr>
          <w:p w14:paraId="2B26119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DN40远传水表（地井）</w:t>
            </w:r>
          </w:p>
        </w:tc>
        <w:tc>
          <w:tcPr>
            <w:tcW w:w="80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77303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DN40</w:t>
            </w:r>
          </w:p>
        </w:tc>
        <w:tc>
          <w:tcPr>
            <w:tcW w:w="76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34559A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21039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E4795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8D963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F633D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924" w:type="dxa"/>
            <w:vMerge w:val="continue"/>
            <w:tcBorders>
              <w:left w:val="single" w:color="000000" w:sz="4" w:space="0"/>
              <w:right w:val="single" w:color="000000" w:sz="4" w:space="0"/>
            </w:tcBorders>
            <w:shd w:val="clear" w:color="auto" w:fill="auto"/>
            <w:noWrap/>
            <w:vAlign w:val="center"/>
          </w:tcPr>
          <w:p w14:paraId="3619ECF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1F1716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48597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c>
          <w:tcPr>
            <w:tcW w:w="86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1F01C2">
            <w:pPr>
              <w:jc w:val="center"/>
              <w:rPr>
                <w:rFonts w:hint="eastAsia" w:ascii="宋体" w:hAnsi="宋体" w:eastAsia="宋体" w:cs="宋体"/>
                <w:i w:val="0"/>
                <w:iCs w:val="0"/>
                <w:color w:val="000000"/>
                <w:sz w:val="21"/>
                <w:szCs w:val="21"/>
                <w:u w:val="none"/>
              </w:rPr>
            </w:pPr>
          </w:p>
        </w:tc>
        <w:tc>
          <w:tcPr>
            <w:tcW w:w="2413" w:type="dxa"/>
            <w:tcBorders>
              <w:top w:val="single" w:color="000000" w:sz="4" w:space="0"/>
              <w:left w:val="single" w:color="000000" w:sz="4" w:space="0"/>
              <w:bottom w:val="single" w:color="000000" w:sz="4" w:space="0"/>
              <w:right w:val="nil"/>
            </w:tcBorders>
            <w:shd w:val="clear" w:color="auto" w:fill="FFFFFF"/>
            <w:noWrap/>
            <w:vAlign w:val="center"/>
          </w:tcPr>
          <w:p w14:paraId="3790150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DN50远传水表（地井）</w:t>
            </w:r>
          </w:p>
        </w:tc>
        <w:tc>
          <w:tcPr>
            <w:tcW w:w="80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4B289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DN50</w:t>
            </w:r>
          </w:p>
        </w:tc>
        <w:tc>
          <w:tcPr>
            <w:tcW w:w="76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7D3083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DA7B3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3CB44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14A512">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D725D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924" w:type="dxa"/>
            <w:vMerge w:val="continue"/>
            <w:tcBorders>
              <w:left w:val="single" w:color="000000" w:sz="4" w:space="0"/>
              <w:right w:val="single" w:color="000000" w:sz="4" w:space="0"/>
            </w:tcBorders>
            <w:shd w:val="clear" w:color="auto" w:fill="auto"/>
            <w:noWrap/>
            <w:vAlign w:val="center"/>
          </w:tcPr>
          <w:p w14:paraId="420D9E8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61A18A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3D9BC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c>
          <w:tcPr>
            <w:tcW w:w="86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EE9FD9">
            <w:pPr>
              <w:jc w:val="center"/>
              <w:rPr>
                <w:rFonts w:hint="eastAsia" w:ascii="宋体" w:hAnsi="宋体" w:eastAsia="宋体" w:cs="宋体"/>
                <w:i w:val="0"/>
                <w:iCs w:val="0"/>
                <w:color w:val="000000"/>
                <w:sz w:val="21"/>
                <w:szCs w:val="21"/>
                <w:u w:val="none"/>
              </w:rPr>
            </w:pPr>
          </w:p>
        </w:tc>
        <w:tc>
          <w:tcPr>
            <w:tcW w:w="2413" w:type="dxa"/>
            <w:tcBorders>
              <w:top w:val="single" w:color="000000" w:sz="4" w:space="0"/>
              <w:left w:val="single" w:color="000000" w:sz="4" w:space="0"/>
              <w:bottom w:val="single" w:color="000000" w:sz="4" w:space="0"/>
              <w:right w:val="nil"/>
            </w:tcBorders>
            <w:shd w:val="clear" w:color="auto" w:fill="FFFFFF"/>
            <w:noWrap/>
            <w:vAlign w:val="center"/>
          </w:tcPr>
          <w:p w14:paraId="34FB79E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DN100远传水表（地井）</w:t>
            </w:r>
          </w:p>
        </w:tc>
        <w:tc>
          <w:tcPr>
            <w:tcW w:w="80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FD1A8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DN100</w:t>
            </w:r>
          </w:p>
        </w:tc>
        <w:tc>
          <w:tcPr>
            <w:tcW w:w="76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E734D6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922F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FE789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C648B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73B74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924" w:type="dxa"/>
            <w:vMerge w:val="continue"/>
            <w:tcBorders>
              <w:left w:val="single" w:color="000000" w:sz="4" w:space="0"/>
              <w:right w:val="single" w:color="000000" w:sz="4" w:space="0"/>
            </w:tcBorders>
            <w:shd w:val="clear" w:color="auto" w:fill="auto"/>
            <w:noWrap/>
            <w:vAlign w:val="center"/>
          </w:tcPr>
          <w:p w14:paraId="32A54DE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74A5C6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447E50">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15</w:t>
            </w:r>
          </w:p>
        </w:tc>
        <w:tc>
          <w:tcPr>
            <w:tcW w:w="86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4B7F9C">
            <w:pPr>
              <w:jc w:val="center"/>
              <w:rPr>
                <w:rFonts w:hint="eastAsia" w:ascii="宋体" w:hAnsi="宋体" w:eastAsia="宋体" w:cs="宋体"/>
                <w:i w:val="0"/>
                <w:iCs w:val="0"/>
                <w:color w:val="000000"/>
                <w:sz w:val="21"/>
                <w:szCs w:val="21"/>
                <w:u w:val="none"/>
              </w:rPr>
            </w:pPr>
          </w:p>
        </w:tc>
        <w:tc>
          <w:tcPr>
            <w:tcW w:w="24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9B9E9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表接头（带止回阀芯，2只接头外加一付垫片为一套）</w:t>
            </w:r>
          </w:p>
        </w:tc>
        <w:tc>
          <w:tcPr>
            <w:tcW w:w="8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B0640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DN15</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3B9BF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296F6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DAAD6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23DCB2">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2034F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924" w:type="dxa"/>
            <w:vMerge w:val="continue"/>
            <w:tcBorders>
              <w:left w:val="single" w:color="000000" w:sz="4" w:space="0"/>
              <w:right w:val="single" w:color="000000" w:sz="4" w:space="0"/>
            </w:tcBorders>
            <w:shd w:val="clear" w:color="auto" w:fill="auto"/>
            <w:noWrap/>
            <w:vAlign w:val="center"/>
          </w:tcPr>
          <w:p w14:paraId="4990B29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4303D2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7C9752">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16</w:t>
            </w:r>
          </w:p>
        </w:tc>
        <w:tc>
          <w:tcPr>
            <w:tcW w:w="86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4B300A">
            <w:pPr>
              <w:jc w:val="center"/>
              <w:rPr>
                <w:rFonts w:hint="eastAsia" w:ascii="宋体" w:hAnsi="宋体" w:eastAsia="宋体" w:cs="宋体"/>
                <w:i w:val="0"/>
                <w:iCs w:val="0"/>
                <w:color w:val="000000"/>
                <w:sz w:val="21"/>
                <w:szCs w:val="21"/>
                <w:u w:val="none"/>
              </w:rPr>
            </w:pPr>
          </w:p>
        </w:tc>
        <w:tc>
          <w:tcPr>
            <w:tcW w:w="24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DA8BD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表接头（带止回阀芯，2只接头外加一付垫片为一套）</w:t>
            </w:r>
          </w:p>
        </w:tc>
        <w:tc>
          <w:tcPr>
            <w:tcW w:w="804" w:type="dxa"/>
            <w:tcBorders>
              <w:top w:val="single" w:color="000000" w:sz="4" w:space="0"/>
              <w:left w:val="single" w:color="000000" w:sz="4" w:space="0"/>
              <w:bottom w:val="single" w:color="auto" w:sz="4" w:space="0"/>
              <w:right w:val="single" w:color="000000" w:sz="4" w:space="0"/>
            </w:tcBorders>
            <w:shd w:val="clear" w:color="auto" w:fill="FFFFFF"/>
            <w:vAlign w:val="center"/>
          </w:tcPr>
          <w:p w14:paraId="4A9E0D8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DN20</w:t>
            </w:r>
          </w:p>
        </w:tc>
        <w:tc>
          <w:tcPr>
            <w:tcW w:w="762"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6D8EE9F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c>
          <w:tcPr>
            <w:tcW w:w="846"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293D8DA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684"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1BACFCD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816"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6AD249D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780"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6D14EE9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924" w:type="dxa"/>
            <w:vMerge w:val="continue"/>
            <w:tcBorders>
              <w:left w:val="single" w:color="000000" w:sz="4" w:space="0"/>
              <w:bottom w:val="single" w:color="auto" w:sz="4" w:space="0"/>
              <w:right w:val="single" w:color="000000" w:sz="4" w:space="0"/>
            </w:tcBorders>
            <w:shd w:val="clear" w:color="auto" w:fill="auto"/>
            <w:noWrap/>
            <w:vAlign w:val="center"/>
          </w:tcPr>
          <w:p w14:paraId="75FEBB4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242C95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703" w:type="dxa"/>
            <w:gridSpan w:val="3"/>
            <w:tcBorders>
              <w:top w:val="single" w:color="000000" w:sz="4" w:space="0"/>
              <w:left w:val="single" w:color="000000" w:sz="4" w:space="0"/>
              <w:bottom w:val="single" w:color="000000" w:sz="4" w:space="0"/>
              <w:right w:val="single" w:color="auto" w:sz="4" w:space="0"/>
            </w:tcBorders>
            <w:shd w:val="clear" w:color="auto" w:fill="auto"/>
            <w:noWrap/>
            <w:vAlign w:val="center"/>
          </w:tcPr>
          <w:p w14:paraId="385823EE">
            <w:pPr>
              <w:keepNext w:val="0"/>
              <w:keepLines w:val="0"/>
              <w:widowControl/>
              <w:suppressLineNumbers w:val="0"/>
              <w:jc w:val="center"/>
              <w:textAlignment w:val="center"/>
              <w:rPr>
                <w:rFonts w:hint="eastAsia" w:ascii="宋体" w:hAnsi="宋体" w:eastAsia="宋体" w:cs="宋体"/>
                <w:b/>
                <w:bCs/>
                <w:i w:val="0"/>
                <w:iCs w:val="0"/>
                <w:color w:val="000000"/>
                <w:kern w:val="2"/>
                <w:sz w:val="24"/>
                <w:szCs w:val="24"/>
                <w:u w:val="none"/>
                <w:lang w:val="en-US" w:eastAsia="zh-CN" w:bidi="ar-SA"/>
              </w:rPr>
            </w:pPr>
            <w:r>
              <w:rPr>
                <w:rFonts w:hint="eastAsia" w:ascii="宋体" w:hAnsi="宋体" w:eastAsia="宋体" w:cs="宋体"/>
                <w:b/>
                <w:bCs/>
                <w:i w:val="0"/>
                <w:iCs w:val="0"/>
                <w:color w:val="000000"/>
                <w:kern w:val="0"/>
                <w:sz w:val="24"/>
                <w:szCs w:val="24"/>
                <w:u w:val="none"/>
                <w:lang w:val="en-US" w:eastAsia="zh-CN" w:bidi="ar"/>
              </w:rPr>
              <w:t>总    价（元）</w:t>
            </w:r>
          </w:p>
        </w:tc>
        <w:tc>
          <w:tcPr>
            <w:tcW w:w="5616" w:type="dxa"/>
            <w:gridSpan w:val="7"/>
            <w:tcBorders>
              <w:top w:val="single" w:color="auto" w:sz="4" w:space="0"/>
              <w:left w:val="single" w:color="auto" w:sz="4" w:space="0"/>
              <w:bottom w:val="single" w:color="auto" w:sz="4" w:space="0"/>
              <w:right w:val="single" w:color="auto" w:sz="4" w:space="0"/>
            </w:tcBorders>
            <w:shd w:val="clear" w:color="auto" w:fill="auto"/>
            <w:vAlign w:val="center"/>
          </w:tcPr>
          <w:p w14:paraId="608828F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大写：                   小写：</w:t>
            </w:r>
          </w:p>
        </w:tc>
      </w:tr>
      <w:tr w14:paraId="5A1CD5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9319" w:type="dxa"/>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107095">
            <w:pPr>
              <w:keepNext w:val="0"/>
              <w:keepLines w:val="0"/>
              <w:widowControl/>
              <w:suppressLineNumbers w:val="0"/>
              <w:spacing w:line="240" w:lineRule="auto"/>
              <w:jc w:val="left"/>
              <w:textAlignment w:val="center"/>
              <w:rPr>
                <w:rFonts w:hint="eastAsia" w:ascii="宋体" w:hAnsi="宋体" w:eastAsia="宋体" w:cs="宋体"/>
                <w:b/>
                <w:bCs/>
                <w:i w:val="0"/>
                <w:iCs w:val="0"/>
                <w:color w:val="auto"/>
                <w:kern w:val="0"/>
                <w:sz w:val="24"/>
                <w:szCs w:val="24"/>
                <w:highlight w:val="none"/>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一、</w:t>
            </w:r>
            <w:r>
              <w:rPr>
                <w:rFonts w:hint="eastAsia" w:ascii="宋体" w:hAnsi="宋体" w:eastAsia="宋体" w:cs="宋体"/>
                <w:b/>
                <w:bCs/>
                <w:i w:val="0"/>
                <w:iCs w:val="0"/>
                <w:color w:val="auto"/>
                <w:kern w:val="0"/>
                <w:sz w:val="24"/>
                <w:szCs w:val="24"/>
                <w:highlight w:val="none"/>
                <w:u w:val="none"/>
                <w:lang w:val="en-US" w:eastAsia="zh-CN" w:bidi="ar"/>
              </w:rPr>
              <w:t>供应商的资格要求</w:t>
            </w:r>
          </w:p>
          <w:p w14:paraId="43631D0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b/>
                <w:bCs/>
                <w:i w:val="0"/>
                <w:iCs w:val="0"/>
                <w:color w:val="auto"/>
                <w:kern w:val="0"/>
                <w:sz w:val="24"/>
                <w:szCs w:val="24"/>
                <w:highlight w:val="none"/>
                <w:u w:val="none"/>
                <w:lang w:val="en-US" w:eastAsia="zh-CN" w:bidi="ar"/>
              </w:rPr>
            </w:pPr>
            <w:r>
              <w:rPr>
                <w:rFonts w:hint="eastAsia" w:ascii="宋体" w:hAnsi="宋体" w:eastAsia="宋体" w:cs="宋体"/>
                <w:b/>
                <w:bCs/>
                <w:i w:val="0"/>
                <w:iCs w:val="0"/>
                <w:color w:val="auto"/>
                <w:kern w:val="0"/>
                <w:sz w:val="24"/>
                <w:szCs w:val="24"/>
                <w:highlight w:val="none"/>
                <w:u w:val="none"/>
                <w:lang w:val="en-US" w:eastAsia="zh-CN" w:bidi="ar"/>
              </w:rPr>
              <w:t>1、符合《中华人民共和国政府采购法》第二十二条规定；</w:t>
            </w:r>
          </w:p>
          <w:p w14:paraId="43C3614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b/>
                <w:bCs/>
                <w:i w:val="0"/>
                <w:iCs w:val="0"/>
                <w:color w:val="auto"/>
                <w:kern w:val="0"/>
                <w:sz w:val="24"/>
                <w:szCs w:val="24"/>
                <w:highlight w:val="none"/>
                <w:u w:val="none"/>
                <w:lang w:val="en-US" w:eastAsia="zh-CN" w:bidi="ar"/>
              </w:rPr>
            </w:pPr>
            <w:r>
              <w:rPr>
                <w:rFonts w:hint="eastAsia" w:ascii="宋体" w:hAnsi="宋体" w:eastAsia="宋体" w:cs="宋体"/>
                <w:b/>
                <w:bCs/>
                <w:i w:val="0"/>
                <w:iCs w:val="0"/>
                <w:color w:val="auto"/>
                <w:kern w:val="0"/>
                <w:sz w:val="24"/>
                <w:szCs w:val="24"/>
                <w:highlight w:val="none"/>
                <w:u w:val="none"/>
                <w:lang w:val="en-US" w:eastAsia="zh-CN" w:bidi="ar"/>
              </w:rPr>
              <w:t>2、未被“信用中国”、“中国政府采购网”、“信用江苏”网站列入失信被执行人、重大税收违法案件当事人名单、政府采购严重违法失信行为记录名单(提供网页截图)；</w:t>
            </w:r>
          </w:p>
          <w:p w14:paraId="2067C0F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b/>
                <w:bCs/>
                <w:i w:val="0"/>
                <w:iCs w:val="0"/>
                <w:color w:val="auto"/>
                <w:kern w:val="0"/>
                <w:sz w:val="24"/>
                <w:szCs w:val="24"/>
                <w:highlight w:val="none"/>
                <w:u w:val="none"/>
                <w:lang w:val="en-US" w:eastAsia="zh-CN" w:bidi="ar"/>
              </w:rPr>
            </w:pPr>
            <w:r>
              <w:rPr>
                <w:rFonts w:hint="eastAsia" w:ascii="宋体" w:hAnsi="宋体" w:eastAsia="宋体" w:cs="宋体"/>
                <w:b/>
                <w:bCs/>
                <w:i w:val="0"/>
                <w:iCs w:val="0"/>
                <w:color w:val="auto"/>
                <w:kern w:val="0"/>
                <w:sz w:val="24"/>
                <w:szCs w:val="24"/>
                <w:highlight w:val="none"/>
                <w:u w:val="none"/>
                <w:lang w:val="en-US" w:eastAsia="zh-CN" w:bidi="ar"/>
              </w:rPr>
              <w:t>3、对于参加报价的供应商，须具有合法的营业执照。</w:t>
            </w:r>
          </w:p>
          <w:p w14:paraId="29843D6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b/>
                <w:bCs/>
                <w:i w:val="0"/>
                <w:iCs w:val="0"/>
                <w:color w:val="auto"/>
                <w:kern w:val="0"/>
                <w:sz w:val="24"/>
                <w:szCs w:val="24"/>
                <w:highlight w:val="none"/>
                <w:u w:val="none"/>
                <w:lang w:val="en-US" w:eastAsia="zh-CN" w:bidi="ar"/>
              </w:rPr>
            </w:pPr>
            <w:r>
              <w:rPr>
                <w:rFonts w:hint="eastAsia" w:ascii="宋体" w:hAnsi="宋体" w:eastAsia="宋体" w:cs="宋体"/>
                <w:b/>
                <w:bCs/>
                <w:i w:val="0"/>
                <w:iCs w:val="0"/>
                <w:color w:val="auto"/>
                <w:kern w:val="0"/>
                <w:sz w:val="24"/>
                <w:szCs w:val="24"/>
                <w:highlight w:val="none"/>
                <w:u w:val="none"/>
                <w:lang w:val="en-US" w:eastAsia="zh-CN" w:bidi="ar"/>
              </w:rPr>
              <w:t>4、报价人须提供所投产品（远传水表）的计量器具型式评价报告或计量器具型式批准证书证书原件扫描件；</w:t>
            </w:r>
          </w:p>
          <w:p w14:paraId="7054B6FF">
            <w:pPr>
              <w:pStyle w:val="10"/>
              <w:keepNext w:val="0"/>
              <w:keepLines w:val="0"/>
              <w:pageBreakBefore w:val="0"/>
              <w:kinsoku/>
              <w:wordWrap/>
              <w:overflowPunct/>
              <w:topLinePunct w:val="0"/>
              <w:autoSpaceDE/>
              <w:autoSpaceDN/>
              <w:bidi w:val="0"/>
              <w:adjustRightInd/>
              <w:snapToGrid/>
              <w:spacing w:line="300" w:lineRule="exact"/>
              <w:rPr>
                <w:rFonts w:hint="eastAsia" w:ascii="宋体" w:hAnsi="宋体" w:cs="宋体"/>
                <w:b/>
                <w:bCs/>
                <w:i w:val="0"/>
                <w:iCs w:val="0"/>
                <w:color w:val="auto"/>
                <w:kern w:val="0"/>
                <w:sz w:val="24"/>
                <w:szCs w:val="24"/>
                <w:highlight w:val="none"/>
                <w:u w:val="none"/>
                <w:lang w:val="en-US" w:eastAsia="zh-CN" w:bidi="ar"/>
              </w:rPr>
            </w:pPr>
            <w:r>
              <w:rPr>
                <w:rFonts w:hint="eastAsia" w:ascii="宋体" w:hAnsi="宋体" w:cs="宋体"/>
                <w:b/>
                <w:bCs/>
                <w:i w:val="0"/>
                <w:iCs w:val="0"/>
                <w:color w:val="auto"/>
                <w:kern w:val="0"/>
                <w:sz w:val="24"/>
                <w:szCs w:val="24"/>
                <w:highlight w:val="none"/>
                <w:u w:val="none"/>
                <w:lang w:val="en-US" w:eastAsia="zh-CN" w:bidi="ar"/>
              </w:rPr>
              <w:t>5、报价人需具备省级市场监督管理局颁发的，水表专项计量授权证书，授权的水表口径范围包含DN15-50；</w:t>
            </w:r>
          </w:p>
          <w:p w14:paraId="4EC71FC0">
            <w:pPr>
              <w:pStyle w:val="10"/>
              <w:keepNext w:val="0"/>
              <w:keepLines w:val="0"/>
              <w:pageBreakBefore w:val="0"/>
              <w:kinsoku/>
              <w:wordWrap/>
              <w:overflowPunct/>
              <w:topLinePunct w:val="0"/>
              <w:autoSpaceDE/>
              <w:autoSpaceDN/>
              <w:bidi w:val="0"/>
              <w:adjustRightInd/>
              <w:snapToGrid/>
              <w:spacing w:line="300" w:lineRule="exact"/>
              <w:rPr>
                <w:rFonts w:hint="eastAsia" w:ascii="宋体" w:hAnsi="宋体" w:eastAsia="宋体" w:cs="宋体"/>
                <w:b/>
                <w:bCs/>
                <w:i w:val="0"/>
                <w:iCs w:val="0"/>
                <w:color w:val="auto"/>
                <w:kern w:val="0"/>
                <w:sz w:val="24"/>
                <w:szCs w:val="24"/>
                <w:highlight w:val="none"/>
                <w:u w:val="none"/>
                <w:lang w:val="en-US" w:eastAsia="zh-CN" w:bidi="ar"/>
              </w:rPr>
            </w:pPr>
            <w:r>
              <w:rPr>
                <w:rFonts w:hint="eastAsia" w:ascii="宋体" w:hAnsi="宋体" w:cs="宋体"/>
                <w:b/>
                <w:bCs/>
                <w:i w:val="0"/>
                <w:iCs w:val="0"/>
                <w:color w:val="auto"/>
                <w:kern w:val="0"/>
                <w:sz w:val="24"/>
                <w:szCs w:val="24"/>
                <w:highlight w:val="none"/>
                <w:u w:val="none"/>
                <w:lang w:val="en-US" w:eastAsia="zh-CN" w:bidi="ar"/>
              </w:rPr>
              <w:t>6</w:t>
            </w:r>
            <w:r>
              <w:rPr>
                <w:rFonts w:hint="eastAsia" w:ascii="宋体" w:hAnsi="宋体" w:eastAsia="宋体" w:cs="宋体"/>
                <w:b/>
                <w:bCs/>
                <w:i w:val="0"/>
                <w:iCs w:val="0"/>
                <w:color w:val="auto"/>
                <w:kern w:val="0"/>
                <w:sz w:val="24"/>
                <w:szCs w:val="24"/>
                <w:highlight w:val="none"/>
                <w:u w:val="none"/>
                <w:lang w:val="en-US" w:eastAsia="zh-CN" w:bidi="ar"/>
              </w:rPr>
              <w:t>、报价人需具有质量管理体系、环境管理体系、职业健康安全管理体系、测量管理体系认证证书原件扫描件；</w:t>
            </w:r>
          </w:p>
          <w:p w14:paraId="08FFA28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b/>
                <w:bCs/>
                <w:i w:val="0"/>
                <w:iCs w:val="0"/>
                <w:color w:val="auto"/>
                <w:kern w:val="0"/>
                <w:sz w:val="24"/>
                <w:szCs w:val="24"/>
                <w:highlight w:val="none"/>
                <w:u w:val="none"/>
                <w:lang w:val="en-US" w:eastAsia="zh-CN" w:bidi="ar"/>
              </w:rPr>
            </w:pPr>
            <w:r>
              <w:rPr>
                <w:rFonts w:hint="eastAsia" w:ascii="宋体" w:hAnsi="宋体" w:eastAsia="宋体" w:cs="宋体"/>
                <w:b/>
                <w:bCs/>
                <w:i w:val="0"/>
                <w:iCs w:val="0"/>
                <w:color w:val="auto"/>
                <w:kern w:val="0"/>
                <w:sz w:val="24"/>
                <w:szCs w:val="24"/>
                <w:highlight w:val="none"/>
                <w:u w:val="none"/>
                <w:lang w:val="en-US" w:eastAsia="zh-CN" w:bidi="ar"/>
              </w:rPr>
              <w:t>7、报价人有自2023年1月1日以来（以合同签订时间为准）有类似的供货业绩（提供相对应的合同及发票原件扫描件加盖公章）。</w:t>
            </w:r>
          </w:p>
          <w:p w14:paraId="4176CFF9">
            <w:pPr>
              <w:pStyle w:val="19"/>
              <w:spacing w:after="0" w:line="240" w:lineRule="auto"/>
              <w:ind w:left="0" w:leftChars="0" w:firstLine="0" w:firstLineChars="0"/>
              <w:rPr>
                <w:rFonts w:hint="eastAsia" w:ascii="宋体" w:hAnsi="宋体" w:eastAsia="宋体" w:cs="宋体"/>
                <w:b/>
                <w:bCs/>
                <w:i w:val="0"/>
                <w:iCs w:val="0"/>
                <w:color w:val="auto"/>
                <w:kern w:val="0"/>
                <w:sz w:val="24"/>
                <w:szCs w:val="24"/>
                <w:highlight w:val="none"/>
                <w:u w:val="none"/>
                <w:lang w:val="en-US" w:eastAsia="zh-CN" w:bidi="ar"/>
              </w:rPr>
            </w:pPr>
            <w:r>
              <w:rPr>
                <w:rFonts w:hint="eastAsia" w:ascii="宋体" w:hAnsi="宋体" w:eastAsia="宋体" w:cs="宋体"/>
                <w:b/>
                <w:bCs/>
                <w:i w:val="0"/>
                <w:iCs w:val="0"/>
                <w:color w:val="auto"/>
                <w:kern w:val="0"/>
                <w:sz w:val="24"/>
                <w:szCs w:val="24"/>
                <w:highlight w:val="none"/>
                <w:u w:val="none"/>
                <w:lang w:val="en-US" w:eastAsia="zh-CN" w:bidi="ar"/>
              </w:rPr>
              <w:t>二、相关技术要求:</w:t>
            </w:r>
          </w:p>
          <w:p w14:paraId="5DF06097">
            <w:pPr>
              <w:keepNext w:val="0"/>
              <w:keepLines w:val="0"/>
              <w:widowControl/>
              <w:suppressLineNumbers w:val="0"/>
              <w:jc w:val="left"/>
              <w:textAlignment w:val="center"/>
              <w:rPr>
                <w:rFonts w:hint="eastAsia" w:ascii="宋体" w:hAnsi="宋体" w:eastAsia="宋体" w:cs="宋体"/>
                <w:b/>
                <w:bCs/>
                <w:i w:val="0"/>
                <w:iCs w:val="0"/>
                <w:color w:val="auto"/>
                <w:kern w:val="0"/>
                <w:sz w:val="24"/>
                <w:szCs w:val="24"/>
                <w:highlight w:val="none"/>
                <w:u w:val="none"/>
                <w:lang w:val="en-US" w:eastAsia="zh-CN" w:bidi="ar"/>
              </w:rPr>
            </w:pPr>
            <w:r>
              <w:rPr>
                <w:rFonts w:hint="eastAsia" w:ascii="宋体" w:hAnsi="宋体" w:eastAsia="宋体" w:cs="宋体"/>
                <w:b/>
                <w:bCs/>
                <w:i w:val="0"/>
                <w:iCs w:val="0"/>
                <w:color w:val="auto"/>
                <w:kern w:val="0"/>
                <w:sz w:val="24"/>
                <w:szCs w:val="24"/>
                <w:highlight w:val="none"/>
                <w:u w:val="none"/>
                <w:lang w:val="en-US" w:eastAsia="zh-CN" w:bidi="ar"/>
              </w:rPr>
              <w:t>1、基表要求:</w:t>
            </w:r>
          </w:p>
          <w:p w14:paraId="4DC28388">
            <w:pPr>
              <w:keepNext w:val="0"/>
              <w:keepLines w:val="0"/>
              <w:widowControl/>
              <w:suppressLineNumbers w:val="0"/>
              <w:jc w:val="left"/>
              <w:textAlignment w:val="center"/>
              <w:rPr>
                <w:rFonts w:hint="eastAsia" w:ascii="宋体" w:hAnsi="宋体" w:eastAsia="宋体" w:cs="宋体"/>
                <w:b w:val="0"/>
                <w:bCs w:val="0"/>
                <w:i w:val="0"/>
                <w:iCs w:val="0"/>
                <w:color w:val="auto"/>
                <w:kern w:val="0"/>
                <w:sz w:val="24"/>
                <w:szCs w:val="24"/>
                <w:highlight w:val="none"/>
                <w:u w:val="none"/>
                <w:lang w:val="en-US" w:eastAsia="zh-CN" w:bidi="ar"/>
              </w:rPr>
            </w:pPr>
            <w:r>
              <w:rPr>
                <w:rFonts w:hint="eastAsia" w:ascii="宋体" w:hAnsi="宋体" w:eastAsia="宋体" w:cs="宋体"/>
                <w:b w:val="0"/>
                <w:bCs w:val="0"/>
                <w:i w:val="0"/>
                <w:iCs w:val="0"/>
                <w:color w:val="auto"/>
                <w:kern w:val="0"/>
                <w:sz w:val="24"/>
                <w:szCs w:val="24"/>
                <w:highlight w:val="none"/>
                <w:u w:val="none"/>
                <w:lang w:val="en-US" w:eastAsia="zh-CN" w:bidi="ar"/>
              </w:rPr>
              <w:t>1.1用于计量水表的速度式水表，本次招标要求远传水表的基表限定为半液封湿式冷水表配钢化玻璃，采用不锈钢无磁发讯指针。数据采集技术必须选用无磁技术。</w:t>
            </w:r>
          </w:p>
          <w:p w14:paraId="7597B621">
            <w:pPr>
              <w:keepNext w:val="0"/>
              <w:keepLines w:val="0"/>
              <w:widowControl/>
              <w:suppressLineNumbers w:val="0"/>
              <w:jc w:val="left"/>
              <w:textAlignment w:val="center"/>
              <w:rPr>
                <w:rFonts w:hint="eastAsia" w:ascii="宋体" w:hAnsi="宋体" w:eastAsia="宋体" w:cs="宋体"/>
                <w:b w:val="0"/>
                <w:bCs w:val="0"/>
                <w:i w:val="0"/>
                <w:iCs w:val="0"/>
                <w:color w:val="auto"/>
                <w:kern w:val="0"/>
                <w:sz w:val="24"/>
                <w:szCs w:val="24"/>
                <w:highlight w:val="none"/>
                <w:u w:val="none"/>
                <w:lang w:val="en-US" w:eastAsia="zh-CN" w:bidi="ar"/>
              </w:rPr>
            </w:pPr>
            <w:r>
              <w:rPr>
                <w:rFonts w:hint="eastAsia" w:ascii="宋体" w:hAnsi="宋体" w:eastAsia="宋体" w:cs="宋体"/>
                <w:b w:val="0"/>
                <w:bCs w:val="0"/>
                <w:i w:val="0"/>
                <w:iCs w:val="0"/>
                <w:color w:val="auto"/>
                <w:kern w:val="0"/>
                <w:sz w:val="24"/>
                <w:szCs w:val="24"/>
                <w:highlight w:val="none"/>
                <w:u w:val="none"/>
                <w:lang w:val="en-US" w:eastAsia="zh-CN" w:bidi="ar"/>
              </w:rPr>
              <w:t>1.2远传水表的基表部分的表壳与机芯必须与传统水表一致，可以互换。</w:t>
            </w:r>
          </w:p>
          <w:p w14:paraId="5E9896AB">
            <w:pPr>
              <w:keepNext w:val="0"/>
              <w:keepLines w:val="0"/>
              <w:widowControl/>
              <w:suppressLineNumbers w:val="0"/>
              <w:jc w:val="left"/>
              <w:textAlignment w:val="center"/>
              <w:rPr>
                <w:rFonts w:hint="eastAsia" w:ascii="宋体" w:hAnsi="宋体" w:eastAsia="宋体" w:cs="宋体"/>
                <w:b w:val="0"/>
                <w:bCs w:val="0"/>
                <w:i w:val="0"/>
                <w:iCs w:val="0"/>
                <w:color w:val="auto"/>
                <w:kern w:val="0"/>
                <w:sz w:val="24"/>
                <w:szCs w:val="24"/>
                <w:highlight w:val="none"/>
                <w:u w:val="none"/>
                <w:lang w:val="en-US" w:eastAsia="zh-CN" w:bidi="ar"/>
              </w:rPr>
            </w:pPr>
            <w:r>
              <w:rPr>
                <w:rFonts w:hint="eastAsia" w:ascii="宋体" w:hAnsi="宋体" w:eastAsia="宋体" w:cs="宋体"/>
                <w:b w:val="0"/>
                <w:bCs w:val="0"/>
                <w:i w:val="0"/>
                <w:iCs w:val="0"/>
                <w:color w:val="auto"/>
                <w:kern w:val="0"/>
                <w:sz w:val="24"/>
                <w:szCs w:val="24"/>
                <w:highlight w:val="none"/>
                <w:u w:val="none"/>
                <w:lang w:val="en-US" w:eastAsia="zh-CN" w:bidi="ar"/>
              </w:rPr>
              <w:t>1.3电子表的机械和流量性能应满足如下要求：</w:t>
            </w:r>
          </w:p>
          <w:p w14:paraId="7B0C0FDD">
            <w:pPr>
              <w:keepNext w:val="0"/>
              <w:keepLines w:val="0"/>
              <w:widowControl/>
              <w:suppressLineNumbers w:val="0"/>
              <w:jc w:val="left"/>
              <w:textAlignment w:val="center"/>
              <w:rPr>
                <w:rFonts w:hint="eastAsia" w:ascii="宋体" w:hAnsi="宋体" w:eastAsia="宋体" w:cs="宋体"/>
                <w:b w:val="0"/>
                <w:bCs w:val="0"/>
                <w:i w:val="0"/>
                <w:iCs w:val="0"/>
                <w:color w:val="auto"/>
                <w:kern w:val="0"/>
                <w:sz w:val="24"/>
                <w:szCs w:val="24"/>
                <w:highlight w:val="none"/>
                <w:u w:val="none"/>
                <w:lang w:val="en-US" w:eastAsia="zh-CN" w:bidi="ar"/>
              </w:rPr>
            </w:pPr>
            <w:r>
              <w:rPr>
                <w:rFonts w:hint="eastAsia" w:ascii="宋体" w:hAnsi="宋体" w:eastAsia="宋体" w:cs="宋体"/>
                <w:b w:val="0"/>
                <w:bCs w:val="0"/>
                <w:i w:val="0"/>
                <w:iCs w:val="0"/>
                <w:color w:val="auto"/>
                <w:kern w:val="0"/>
                <w:sz w:val="24"/>
                <w:szCs w:val="24"/>
                <w:highlight w:val="none"/>
                <w:u w:val="none"/>
                <w:lang w:val="en-US" w:eastAsia="zh-CN" w:bidi="ar"/>
              </w:rPr>
              <w:t>严格执行《饮用冷水水表和热水水表》（GB/T778-2018）、《饮用冷水水表检定规程》（JJG162-2019）、《饮用水冷水水表安全规则》（CJ266-2008）、《饮用水水表卫生安全评价规范（试行）（卫办监督发[2010]134号）》或《生活饮用水输配水设备及防护材料的安全性评价标准》（GB/T17219-1998）等标准。</w:t>
            </w:r>
          </w:p>
          <w:p w14:paraId="00859D1B">
            <w:pPr>
              <w:keepNext w:val="0"/>
              <w:keepLines w:val="0"/>
              <w:widowControl/>
              <w:suppressLineNumbers w:val="0"/>
              <w:jc w:val="left"/>
              <w:textAlignment w:val="center"/>
              <w:rPr>
                <w:rFonts w:hint="eastAsia" w:ascii="宋体" w:hAnsi="宋体" w:eastAsia="宋体" w:cs="宋体"/>
                <w:b w:val="0"/>
                <w:bCs w:val="0"/>
                <w:i w:val="0"/>
                <w:iCs w:val="0"/>
                <w:color w:val="auto"/>
                <w:kern w:val="0"/>
                <w:sz w:val="24"/>
                <w:szCs w:val="24"/>
                <w:highlight w:val="none"/>
                <w:u w:val="none"/>
                <w:lang w:val="en-US" w:eastAsia="zh-CN" w:bidi="ar"/>
              </w:rPr>
            </w:pPr>
            <w:r>
              <w:rPr>
                <w:rFonts w:hint="eastAsia" w:ascii="宋体" w:hAnsi="宋体" w:eastAsia="宋体" w:cs="宋体"/>
                <w:b w:val="0"/>
                <w:bCs w:val="0"/>
                <w:i w:val="0"/>
                <w:iCs w:val="0"/>
                <w:color w:val="auto"/>
                <w:kern w:val="0"/>
                <w:sz w:val="24"/>
                <w:szCs w:val="24"/>
                <w:highlight w:val="none"/>
                <w:u w:val="none"/>
                <w:lang w:val="en-US" w:eastAsia="zh-CN" w:bidi="ar"/>
              </w:rPr>
              <w:t>1.4合法性：所投DN15、DN20、DN25、DN40、DN50、DN100、DN150、DN200系列口径产品必须提供合法的《计量器具型式批准证书》及相应的由省级以上计量院出具的《计量器具型式评价报告》，并正确标识CPA的标志及编号，产品或包装应具有产品说明书、质量检验的合格证和中文标明的产品名称和厂名、厂址。</w:t>
            </w:r>
          </w:p>
          <w:p w14:paraId="345F2259">
            <w:pPr>
              <w:keepNext w:val="0"/>
              <w:keepLines w:val="0"/>
              <w:widowControl/>
              <w:suppressLineNumbers w:val="0"/>
              <w:jc w:val="left"/>
              <w:textAlignment w:val="center"/>
              <w:rPr>
                <w:rFonts w:hint="eastAsia" w:ascii="宋体" w:hAnsi="宋体" w:eastAsia="宋体" w:cs="宋体"/>
                <w:b w:val="0"/>
                <w:bCs w:val="0"/>
                <w:i w:val="0"/>
                <w:iCs w:val="0"/>
                <w:color w:val="auto"/>
                <w:kern w:val="0"/>
                <w:sz w:val="24"/>
                <w:szCs w:val="24"/>
                <w:highlight w:val="none"/>
                <w:u w:val="none"/>
                <w:lang w:val="en-US" w:eastAsia="zh-CN" w:bidi="ar"/>
              </w:rPr>
            </w:pPr>
            <w:r>
              <w:rPr>
                <w:rFonts w:hint="eastAsia" w:ascii="宋体" w:hAnsi="宋体" w:eastAsia="宋体" w:cs="宋体"/>
                <w:b w:val="0"/>
                <w:bCs w:val="0"/>
                <w:i w:val="0"/>
                <w:iCs w:val="0"/>
                <w:color w:val="auto"/>
                <w:kern w:val="0"/>
                <w:sz w:val="24"/>
                <w:szCs w:val="24"/>
                <w:highlight w:val="none"/>
                <w:u w:val="none"/>
                <w:lang w:val="en-US" w:eastAsia="zh-CN" w:bidi="ar"/>
              </w:rPr>
              <w:t>1.5技术特性及要求：</w:t>
            </w:r>
          </w:p>
          <w:p w14:paraId="08762770">
            <w:pPr>
              <w:keepNext w:val="0"/>
              <w:keepLines w:val="0"/>
              <w:widowControl/>
              <w:suppressLineNumbers w:val="0"/>
              <w:jc w:val="left"/>
              <w:textAlignment w:val="center"/>
              <w:rPr>
                <w:rFonts w:hint="eastAsia" w:ascii="宋体" w:hAnsi="宋体" w:eastAsia="宋体" w:cs="宋体"/>
                <w:b w:val="0"/>
                <w:bCs w:val="0"/>
                <w:i w:val="0"/>
                <w:iCs w:val="0"/>
                <w:color w:val="auto"/>
                <w:kern w:val="0"/>
                <w:sz w:val="24"/>
                <w:szCs w:val="24"/>
                <w:highlight w:val="none"/>
                <w:u w:val="none"/>
                <w:lang w:val="en-US" w:eastAsia="zh-CN" w:bidi="ar"/>
              </w:rPr>
            </w:pPr>
            <w:r>
              <w:rPr>
                <w:rFonts w:hint="eastAsia" w:ascii="宋体" w:hAnsi="宋体" w:eastAsia="宋体" w:cs="宋体"/>
                <w:b w:val="0"/>
                <w:bCs w:val="0"/>
                <w:i w:val="0"/>
                <w:iCs w:val="0"/>
                <w:color w:val="auto"/>
                <w:kern w:val="0"/>
                <w:sz w:val="24"/>
                <w:szCs w:val="24"/>
                <w:highlight w:val="none"/>
                <w:u w:val="none"/>
                <w:lang w:val="en-US" w:eastAsia="zh-CN" w:bidi="ar"/>
              </w:rPr>
              <w:t>(1)水表的指示装置为模拟和数户字组合式指示装置，水表最大读数不少于99999；基表出厂读数：在00000-00001m³之间。</w:t>
            </w:r>
          </w:p>
          <w:p w14:paraId="64EFC097">
            <w:pPr>
              <w:keepNext w:val="0"/>
              <w:keepLines w:val="0"/>
              <w:widowControl/>
              <w:suppressLineNumbers w:val="0"/>
              <w:jc w:val="left"/>
              <w:textAlignment w:val="center"/>
              <w:rPr>
                <w:rFonts w:hint="eastAsia" w:ascii="宋体" w:hAnsi="宋体" w:eastAsia="宋体" w:cs="宋体"/>
                <w:b w:val="0"/>
                <w:bCs w:val="0"/>
                <w:i w:val="0"/>
                <w:iCs w:val="0"/>
                <w:color w:val="auto"/>
                <w:kern w:val="0"/>
                <w:sz w:val="24"/>
                <w:szCs w:val="24"/>
                <w:highlight w:val="none"/>
                <w:u w:val="none"/>
                <w:lang w:val="en-US" w:eastAsia="zh-CN" w:bidi="ar"/>
              </w:rPr>
            </w:pPr>
            <w:r>
              <w:rPr>
                <w:rFonts w:hint="eastAsia" w:ascii="宋体" w:hAnsi="宋体" w:eastAsia="宋体" w:cs="宋体"/>
                <w:b w:val="0"/>
                <w:bCs w:val="0"/>
                <w:i w:val="0"/>
                <w:iCs w:val="0"/>
                <w:color w:val="auto"/>
                <w:kern w:val="0"/>
                <w:sz w:val="24"/>
                <w:szCs w:val="24"/>
                <w:highlight w:val="none"/>
                <w:u w:val="none"/>
                <w:lang w:val="en-US" w:eastAsia="zh-CN" w:bidi="ar"/>
              </w:rPr>
              <w:t>(2)水表的防水等级达到IP68；</w:t>
            </w:r>
          </w:p>
          <w:p w14:paraId="13EA6753">
            <w:pPr>
              <w:keepNext w:val="0"/>
              <w:keepLines w:val="0"/>
              <w:widowControl/>
              <w:suppressLineNumbers w:val="0"/>
              <w:jc w:val="left"/>
              <w:textAlignment w:val="center"/>
              <w:rPr>
                <w:rFonts w:hint="eastAsia" w:ascii="宋体" w:hAnsi="宋体" w:eastAsia="宋体" w:cs="宋体"/>
                <w:b w:val="0"/>
                <w:bCs w:val="0"/>
                <w:i w:val="0"/>
                <w:iCs w:val="0"/>
                <w:color w:val="auto"/>
                <w:kern w:val="0"/>
                <w:sz w:val="24"/>
                <w:szCs w:val="24"/>
                <w:highlight w:val="none"/>
                <w:u w:val="none"/>
                <w:lang w:val="en-US" w:eastAsia="zh-CN" w:bidi="ar"/>
              </w:rPr>
            </w:pPr>
            <w:r>
              <w:rPr>
                <w:rFonts w:hint="eastAsia" w:ascii="宋体" w:hAnsi="宋体" w:eastAsia="宋体" w:cs="宋体"/>
                <w:b w:val="0"/>
                <w:bCs w:val="0"/>
                <w:i w:val="0"/>
                <w:iCs w:val="0"/>
                <w:color w:val="auto"/>
                <w:kern w:val="0"/>
                <w:sz w:val="24"/>
                <w:szCs w:val="24"/>
                <w:highlight w:val="none"/>
                <w:u w:val="none"/>
                <w:lang w:val="en-US" w:eastAsia="zh-CN" w:bidi="ar"/>
              </w:rPr>
              <w:t>(3)外形尺寸：水表长度为国标GB/T778-2018规定长度。</w:t>
            </w:r>
          </w:p>
          <w:p w14:paraId="2F976A4F">
            <w:pPr>
              <w:keepNext w:val="0"/>
              <w:keepLines w:val="0"/>
              <w:widowControl/>
              <w:suppressLineNumbers w:val="0"/>
              <w:jc w:val="left"/>
              <w:textAlignment w:val="center"/>
              <w:rPr>
                <w:rFonts w:hint="eastAsia" w:ascii="宋体" w:hAnsi="宋体" w:eastAsia="宋体" w:cs="宋体"/>
                <w:b w:val="0"/>
                <w:bCs w:val="0"/>
                <w:i w:val="0"/>
                <w:iCs w:val="0"/>
                <w:color w:val="auto"/>
                <w:kern w:val="0"/>
                <w:sz w:val="24"/>
                <w:szCs w:val="24"/>
                <w:highlight w:val="none"/>
                <w:u w:val="none"/>
                <w:lang w:val="en-US" w:eastAsia="zh-CN" w:bidi="ar"/>
              </w:rPr>
            </w:pPr>
            <w:r>
              <w:rPr>
                <w:rFonts w:hint="eastAsia" w:ascii="宋体" w:hAnsi="宋体" w:eastAsia="宋体" w:cs="宋体"/>
                <w:b w:val="0"/>
                <w:bCs w:val="0"/>
                <w:i w:val="0"/>
                <w:iCs w:val="0"/>
                <w:color w:val="auto"/>
                <w:kern w:val="0"/>
                <w:sz w:val="24"/>
                <w:szCs w:val="24"/>
                <w:highlight w:val="none"/>
                <w:u w:val="none"/>
                <w:lang w:val="en-US" w:eastAsia="zh-CN" w:bidi="ar"/>
              </w:rPr>
              <w:t>(4)表芯度盘印刷内容按用户要求制定，如：“</w:t>
            </w:r>
            <w:r>
              <w:rPr>
                <w:rFonts w:hint="eastAsia" w:ascii="宋体" w:hAnsi="宋体" w:eastAsia="宋体" w:cs="宋体"/>
                <w:b/>
                <w:bCs/>
                <w:i w:val="0"/>
                <w:iCs w:val="0"/>
                <w:color w:val="auto"/>
                <w:kern w:val="0"/>
                <w:sz w:val="24"/>
                <w:szCs w:val="24"/>
                <w:highlight w:val="none"/>
                <w:u w:val="none"/>
                <w:lang w:val="en-US" w:eastAsia="zh-CN" w:bidi="ar"/>
              </w:rPr>
              <w:t>启东水司</w:t>
            </w:r>
            <w:r>
              <w:rPr>
                <w:rFonts w:hint="eastAsia" w:ascii="宋体" w:hAnsi="宋体" w:eastAsia="宋体" w:cs="宋体"/>
                <w:b w:val="0"/>
                <w:bCs w:val="0"/>
                <w:i w:val="0"/>
                <w:iCs w:val="0"/>
                <w:color w:val="auto"/>
                <w:kern w:val="0"/>
                <w:sz w:val="24"/>
                <w:szCs w:val="24"/>
                <w:highlight w:val="none"/>
                <w:u w:val="none"/>
                <w:lang w:val="en-US" w:eastAsia="zh-CN" w:bidi="ar"/>
              </w:rPr>
              <w:t>”字样。</w:t>
            </w:r>
          </w:p>
          <w:p w14:paraId="41C3C1BB">
            <w:pPr>
              <w:keepNext w:val="0"/>
              <w:keepLines w:val="0"/>
              <w:widowControl/>
              <w:suppressLineNumbers w:val="0"/>
              <w:jc w:val="left"/>
              <w:textAlignment w:val="center"/>
              <w:rPr>
                <w:rFonts w:hint="eastAsia" w:ascii="宋体" w:hAnsi="宋体" w:eastAsia="宋体" w:cs="宋体"/>
                <w:b w:val="0"/>
                <w:bCs w:val="0"/>
                <w:i w:val="0"/>
                <w:iCs w:val="0"/>
                <w:color w:val="auto"/>
                <w:kern w:val="0"/>
                <w:sz w:val="24"/>
                <w:szCs w:val="24"/>
                <w:highlight w:val="none"/>
                <w:u w:val="none"/>
                <w:lang w:val="en-US" w:eastAsia="zh-CN" w:bidi="ar"/>
              </w:rPr>
            </w:pPr>
            <w:r>
              <w:rPr>
                <w:rFonts w:hint="eastAsia" w:ascii="宋体" w:hAnsi="宋体" w:eastAsia="宋体" w:cs="宋体"/>
                <w:b w:val="0"/>
                <w:bCs w:val="0"/>
                <w:i w:val="0"/>
                <w:iCs w:val="0"/>
                <w:color w:val="auto"/>
                <w:kern w:val="0"/>
                <w:sz w:val="24"/>
                <w:szCs w:val="24"/>
                <w:highlight w:val="none"/>
                <w:u w:val="none"/>
                <w:lang w:val="en-US" w:eastAsia="zh-CN" w:bidi="ar"/>
              </w:rPr>
              <w:t>(5)成套性：DN15-DN40口径每只水表应随同供应接管螺母2只、连接螺母和密封垫圈各2只；DN50口径基表为法兰式，含成套连接法兰。</w:t>
            </w:r>
          </w:p>
          <w:p w14:paraId="0A6C7794">
            <w:pPr>
              <w:keepNext w:val="0"/>
              <w:keepLines w:val="0"/>
              <w:widowControl/>
              <w:suppressLineNumbers w:val="0"/>
              <w:jc w:val="left"/>
              <w:textAlignment w:val="center"/>
              <w:rPr>
                <w:rFonts w:hint="eastAsia" w:ascii="宋体" w:hAnsi="宋体" w:eastAsia="宋体" w:cs="宋体"/>
                <w:b w:val="0"/>
                <w:bCs w:val="0"/>
                <w:i w:val="0"/>
                <w:iCs w:val="0"/>
                <w:color w:val="auto"/>
                <w:kern w:val="0"/>
                <w:sz w:val="24"/>
                <w:szCs w:val="24"/>
                <w:highlight w:val="none"/>
                <w:u w:val="none"/>
                <w:lang w:val="en-US" w:eastAsia="zh-CN" w:bidi="ar"/>
              </w:rPr>
            </w:pPr>
            <w:r>
              <w:rPr>
                <w:rFonts w:hint="eastAsia" w:ascii="宋体" w:hAnsi="宋体" w:eastAsia="宋体" w:cs="宋体"/>
                <w:b w:val="0"/>
                <w:bCs w:val="0"/>
                <w:i w:val="0"/>
                <w:iCs w:val="0"/>
                <w:color w:val="auto"/>
                <w:kern w:val="0"/>
                <w:sz w:val="24"/>
                <w:szCs w:val="24"/>
                <w:highlight w:val="none"/>
                <w:u w:val="none"/>
                <w:lang w:val="en-US" w:eastAsia="zh-CN" w:bidi="ar"/>
              </w:rPr>
              <w:t>(6)标志：a.表壳一侧应有凸铸出的指示水流方向的箭头,另一侧为凸铸出的公称通径;b.标度盘标出制造厂名或商标;c.在标度盘或中罩的正面标出Q3、Q3/ Q1的值和制造编号;d.出厂编号：RD+10位阿拉伯数字</w:t>
            </w:r>
          </w:p>
          <w:p w14:paraId="5B58749C">
            <w:pPr>
              <w:keepNext w:val="0"/>
              <w:keepLines w:val="0"/>
              <w:widowControl/>
              <w:suppressLineNumbers w:val="0"/>
              <w:jc w:val="left"/>
              <w:textAlignment w:val="center"/>
              <w:rPr>
                <w:rFonts w:hint="eastAsia" w:ascii="宋体" w:hAnsi="宋体" w:eastAsia="宋体" w:cs="宋体"/>
                <w:b w:val="0"/>
                <w:bCs w:val="0"/>
                <w:i w:val="0"/>
                <w:iCs w:val="0"/>
                <w:color w:val="auto"/>
                <w:kern w:val="0"/>
                <w:sz w:val="24"/>
                <w:szCs w:val="24"/>
                <w:highlight w:val="none"/>
                <w:u w:val="none"/>
                <w:lang w:val="en-US" w:eastAsia="zh-CN" w:bidi="ar"/>
              </w:rPr>
            </w:pPr>
            <w:r>
              <w:rPr>
                <w:rFonts w:hint="eastAsia" w:ascii="宋体" w:hAnsi="宋体" w:eastAsia="宋体" w:cs="宋体"/>
                <w:b w:val="0"/>
                <w:bCs w:val="0"/>
                <w:i w:val="0"/>
                <w:iCs w:val="0"/>
                <w:color w:val="auto"/>
                <w:kern w:val="0"/>
                <w:sz w:val="24"/>
                <w:szCs w:val="24"/>
                <w:highlight w:val="none"/>
                <w:u w:val="none"/>
                <w:lang w:val="en-US" w:eastAsia="zh-CN" w:bidi="ar"/>
              </w:rPr>
              <w:t>阿拉伯数字表示为：年份（2位）、月份（2位）、工号（2位）、流水号（4位）</w:t>
            </w:r>
          </w:p>
          <w:p w14:paraId="78D107AD">
            <w:pPr>
              <w:keepNext w:val="0"/>
              <w:keepLines w:val="0"/>
              <w:widowControl/>
              <w:suppressLineNumbers w:val="0"/>
              <w:jc w:val="left"/>
              <w:textAlignment w:val="center"/>
              <w:rPr>
                <w:rFonts w:hint="eastAsia" w:ascii="宋体" w:hAnsi="宋体" w:eastAsia="宋体" w:cs="宋体"/>
                <w:b w:val="0"/>
                <w:bCs w:val="0"/>
                <w:i w:val="0"/>
                <w:iCs w:val="0"/>
                <w:color w:val="auto"/>
                <w:kern w:val="0"/>
                <w:sz w:val="24"/>
                <w:szCs w:val="24"/>
                <w:highlight w:val="none"/>
                <w:u w:val="none"/>
                <w:lang w:val="en-US" w:eastAsia="zh-CN" w:bidi="ar"/>
              </w:rPr>
            </w:pPr>
            <w:r>
              <w:rPr>
                <w:rFonts w:hint="eastAsia" w:ascii="宋体" w:hAnsi="宋体" w:eastAsia="宋体" w:cs="宋体"/>
                <w:b w:val="0"/>
                <w:bCs w:val="0"/>
                <w:i w:val="0"/>
                <w:iCs w:val="0"/>
                <w:color w:val="auto"/>
                <w:kern w:val="0"/>
                <w:sz w:val="24"/>
                <w:szCs w:val="24"/>
                <w:highlight w:val="none"/>
                <w:u w:val="none"/>
                <w:lang w:val="en-US" w:eastAsia="zh-CN" w:bidi="ar"/>
              </w:rPr>
              <w:t>水表电子模块外壳正面醒目位置印有“</w:t>
            </w:r>
            <w:r>
              <w:rPr>
                <w:rFonts w:hint="eastAsia" w:ascii="宋体" w:hAnsi="宋体" w:eastAsia="宋体" w:cs="宋体"/>
                <w:b/>
                <w:bCs/>
                <w:i w:val="0"/>
                <w:iCs w:val="0"/>
                <w:color w:val="auto"/>
                <w:kern w:val="0"/>
                <w:sz w:val="24"/>
                <w:szCs w:val="24"/>
                <w:highlight w:val="none"/>
                <w:u w:val="none"/>
                <w:lang w:val="en-US" w:eastAsia="zh-CN" w:bidi="ar"/>
              </w:rPr>
              <w:t>启东水司</w:t>
            </w:r>
            <w:r>
              <w:rPr>
                <w:rFonts w:hint="eastAsia" w:ascii="宋体" w:hAnsi="宋体" w:eastAsia="宋体" w:cs="宋体"/>
                <w:b w:val="0"/>
                <w:bCs w:val="0"/>
                <w:i w:val="0"/>
                <w:iCs w:val="0"/>
                <w:color w:val="auto"/>
                <w:kern w:val="0"/>
                <w:sz w:val="24"/>
                <w:szCs w:val="24"/>
                <w:highlight w:val="none"/>
                <w:u w:val="none"/>
                <w:lang w:val="en-US" w:eastAsia="zh-CN" w:bidi="ar"/>
              </w:rPr>
              <w:t>”字样。</w:t>
            </w:r>
          </w:p>
          <w:p w14:paraId="2FF7C3B5">
            <w:pPr>
              <w:keepNext w:val="0"/>
              <w:keepLines w:val="0"/>
              <w:widowControl/>
              <w:suppressLineNumbers w:val="0"/>
              <w:jc w:val="left"/>
              <w:textAlignment w:val="center"/>
              <w:rPr>
                <w:rFonts w:hint="eastAsia" w:ascii="宋体" w:hAnsi="宋体" w:eastAsia="宋体" w:cs="宋体"/>
                <w:b w:val="0"/>
                <w:bCs w:val="0"/>
                <w:i w:val="0"/>
                <w:iCs w:val="0"/>
                <w:color w:val="auto"/>
                <w:kern w:val="0"/>
                <w:sz w:val="24"/>
                <w:szCs w:val="24"/>
                <w:highlight w:val="none"/>
                <w:u w:val="none"/>
                <w:lang w:val="en-US" w:eastAsia="zh-CN" w:bidi="ar"/>
              </w:rPr>
            </w:pPr>
            <w:r>
              <w:rPr>
                <w:rFonts w:hint="eastAsia" w:ascii="宋体" w:hAnsi="宋体" w:eastAsia="宋体" w:cs="宋体"/>
                <w:b w:val="0"/>
                <w:bCs w:val="0"/>
                <w:i w:val="0"/>
                <w:iCs w:val="0"/>
                <w:color w:val="auto"/>
                <w:kern w:val="0"/>
                <w:sz w:val="24"/>
                <w:szCs w:val="24"/>
                <w:highlight w:val="none"/>
                <w:u w:val="none"/>
                <w:lang w:val="en-US" w:eastAsia="zh-CN" w:bidi="ar"/>
              </w:rPr>
              <w:t>(7)安装方式：水平安装；</w:t>
            </w:r>
          </w:p>
          <w:p w14:paraId="62BC366C">
            <w:pPr>
              <w:keepNext w:val="0"/>
              <w:keepLines w:val="0"/>
              <w:widowControl/>
              <w:suppressLineNumbers w:val="0"/>
              <w:jc w:val="left"/>
              <w:textAlignment w:val="center"/>
              <w:rPr>
                <w:rFonts w:hint="eastAsia" w:ascii="宋体" w:hAnsi="宋体" w:eastAsia="宋体" w:cs="宋体"/>
                <w:b w:val="0"/>
                <w:bCs w:val="0"/>
                <w:i w:val="0"/>
                <w:iCs w:val="0"/>
                <w:color w:val="auto"/>
                <w:kern w:val="0"/>
                <w:sz w:val="24"/>
                <w:szCs w:val="24"/>
                <w:highlight w:val="none"/>
                <w:u w:val="none"/>
                <w:lang w:val="en-US" w:eastAsia="zh-CN" w:bidi="ar"/>
              </w:rPr>
            </w:pPr>
            <w:r>
              <w:rPr>
                <w:rFonts w:hint="eastAsia" w:ascii="宋体" w:hAnsi="宋体" w:eastAsia="宋体" w:cs="宋体"/>
                <w:b w:val="0"/>
                <w:bCs w:val="0"/>
                <w:i w:val="0"/>
                <w:iCs w:val="0"/>
                <w:color w:val="auto"/>
                <w:kern w:val="0"/>
                <w:sz w:val="24"/>
                <w:szCs w:val="24"/>
                <w:highlight w:val="none"/>
                <w:u w:val="none"/>
                <w:lang w:val="en-US" w:eastAsia="zh-CN" w:bidi="ar"/>
              </w:rPr>
              <w:t>(8)抗抖动、回流：在水流抖动、回流时，确保抄读数据与基表的一致性；</w:t>
            </w:r>
          </w:p>
          <w:p w14:paraId="37C83C20">
            <w:pPr>
              <w:keepNext w:val="0"/>
              <w:keepLines w:val="0"/>
              <w:widowControl/>
              <w:suppressLineNumbers w:val="0"/>
              <w:jc w:val="left"/>
              <w:textAlignment w:val="center"/>
              <w:rPr>
                <w:rFonts w:hint="eastAsia" w:ascii="宋体" w:hAnsi="宋体" w:eastAsia="宋体" w:cs="宋体"/>
                <w:b w:val="0"/>
                <w:bCs w:val="0"/>
                <w:i w:val="0"/>
                <w:iCs w:val="0"/>
                <w:color w:val="auto"/>
                <w:kern w:val="0"/>
                <w:sz w:val="24"/>
                <w:szCs w:val="24"/>
                <w:highlight w:val="none"/>
                <w:u w:val="none"/>
                <w:lang w:val="en-US" w:eastAsia="zh-CN" w:bidi="ar"/>
              </w:rPr>
            </w:pPr>
            <w:r>
              <w:rPr>
                <w:rFonts w:hint="eastAsia" w:ascii="宋体" w:hAnsi="宋体" w:eastAsia="宋体" w:cs="宋体"/>
                <w:b w:val="0"/>
                <w:bCs w:val="0"/>
                <w:i w:val="0"/>
                <w:iCs w:val="0"/>
                <w:color w:val="auto"/>
                <w:kern w:val="0"/>
                <w:sz w:val="24"/>
                <w:szCs w:val="24"/>
                <w:highlight w:val="none"/>
                <w:u w:val="none"/>
                <w:lang w:val="en-US" w:eastAsia="zh-CN" w:bidi="ar"/>
              </w:rPr>
              <w:t>(9)抗强磁干扰：在人为强磁干扰情况均能正常工作 ，不影响水表的计量性能及抄表功能。</w:t>
            </w:r>
          </w:p>
          <w:p w14:paraId="0D87E6BF">
            <w:pPr>
              <w:keepNext w:val="0"/>
              <w:keepLines w:val="0"/>
              <w:widowControl/>
              <w:suppressLineNumbers w:val="0"/>
              <w:jc w:val="left"/>
              <w:textAlignment w:val="center"/>
              <w:rPr>
                <w:rFonts w:hint="eastAsia" w:ascii="宋体" w:hAnsi="宋体" w:eastAsia="宋体" w:cs="宋体"/>
                <w:b w:val="0"/>
                <w:bCs w:val="0"/>
                <w:i w:val="0"/>
                <w:iCs w:val="0"/>
                <w:color w:val="auto"/>
                <w:kern w:val="0"/>
                <w:sz w:val="24"/>
                <w:szCs w:val="24"/>
                <w:highlight w:val="none"/>
                <w:u w:val="none"/>
                <w:lang w:val="en-US" w:eastAsia="zh-CN" w:bidi="ar"/>
              </w:rPr>
            </w:pPr>
            <w:r>
              <w:rPr>
                <w:rFonts w:hint="eastAsia" w:ascii="宋体" w:hAnsi="宋体" w:eastAsia="宋体" w:cs="宋体"/>
                <w:b w:val="0"/>
                <w:bCs w:val="0"/>
                <w:i w:val="0"/>
                <w:iCs w:val="0"/>
                <w:color w:val="auto"/>
                <w:kern w:val="0"/>
                <w:sz w:val="24"/>
                <w:szCs w:val="24"/>
                <w:highlight w:val="none"/>
                <w:u w:val="none"/>
                <w:lang w:val="en-US" w:eastAsia="zh-CN" w:bidi="ar"/>
              </w:rPr>
              <w:t>(10)水表采集的数据须有正向、反向流量读数。</w:t>
            </w:r>
          </w:p>
          <w:p w14:paraId="29C3F1D2">
            <w:pPr>
              <w:keepNext w:val="0"/>
              <w:keepLines w:val="0"/>
              <w:widowControl/>
              <w:suppressLineNumbers w:val="0"/>
              <w:jc w:val="left"/>
              <w:textAlignment w:val="center"/>
              <w:rPr>
                <w:rFonts w:hint="eastAsia" w:ascii="宋体" w:hAnsi="宋体" w:eastAsia="宋体" w:cs="宋体"/>
                <w:b/>
                <w:bCs/>
                <w:i w:val="0"/>
                <w:iCs w:val="0"/>
                <w:color w:val="auto"/>
                <w:kern w:val="0"/>
                <w:sz w:val="24"/>
                <w:szCs w:val="24"/>
                <w:highlight w:val="none"/>
                <w:u w:val="none"/>
                <w:lang w:val="en-US" w:eastAsia="zh-CN" w:bidi="ar"/>
              </w:rPr>
            </w:pPr>
            <w:r>
              <w:rPr>
                <w:rFonts w:hint="eastAsia" w:ascii="宋体" w:hAnsi="宋体" w:eastAsia="宋体" w:cs="宋体"/>
                <w:b/>
                <w:bCs/>
                <w:i w:val="0"/>
                <w:iCs w:val="0"/>
                <w:color w:val="auto"/>
                <w:kern w:val="0"/>
                <w:sz w:val="24"/>
                <w:szCs w:val="24"/>
                <w:highlight w:val="none"/>
                <w:u w:val="none"/>
                <w:lang w:val="en-US" w:eastAsia="zh-CN" w:bidi="ar"/>
              </w:rPr>
              <w:t>2、计量要求：</w:t>
            </w:r>
          </w:p>
          <w:p w14:paraId="384388C3">
            <w:pPr>
              <w:keepNext w:val="0"/>
              <w:keepLines w:val="0"/>
              <w:widowControl/>
              <w:suppressLineNumbers w:val="0"/>
              <w:jc w:val="left"/>
              <w:textAlignment w:val="center"/>
              <w:rPr>
                <w:rFonts w:hint="eastAsia" w:ascii="宋体" w:hAnsi="宋体" w:eastAsia="宋体" w:cs="宋体"/>
                <w:b w:val="0"/>
                <w:bCs w:val="0"/>
                <w:i w:val="0"/>
                <w:iCs w:val="0"/>
                <w:color w:val="auto"/>
                <w:kern w:val="0"/>
                <w:sz w:val="24"/>
                <w:szCs w:val="24"/>
                <w:highlight w:val="none"/>
                <w:u w:val="none"/>
                <w:lang w:val="en-US" w:eastAsia="zh-CN" w:bidi="ar"/>
              </w:rPr>
            </w:pPr>
            <w:r>
              <w:rPr>
                <w:rFonts w:hint="eastAsia" w:ascii="宋体" w:hAnsi="宋体" w:eastAsia="宋体" w:cs="宋体"/>
                <w:b w:val="0"/>
                <w:bCs w:val="0"/>
                <w:i w:val="0"/>
                <w:iCs w:val="0"/>
                <w:color w:val="auto"/>
                <w:kern w:val="0"/>
                <w:sz w:val="24"/>
                <w:szCs w:val="24"/>
                <w:highlight w:val="none"/>
                <w:u w:val="none"/>
                <w:lang w:val="en-US" w:eastAsia="zh-CN" w:bidi="ar"/>
              </w:rPr>
              <w:t>2.1量程比：</w:t>
            </w:r>
          </w:p>
          <w:tbl>
            <w:tblPr>
              <w:tblStyle w:val="21"/>
              <w:tblW w:w="910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4"/>
              <w:gridCol w:w="2727"/>
              <w:gridCol w:w="2657"/>
              <w:gridCol w:w="2033"/>
            </w:tblGrid>
            <w:tr w14:paraId="1E767C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4" w:type="dxa"/>
                  <w:shd w:val="clear" w:color="auto" w:fill="auto"/>
                  <w:vAlign w:val="center"/>
                </w:tcPr>
                <w:p w14:paraId="39EB92EE">
                  <w:pPr>
                    <w:adjustRightInd w:val="0"/>
                    <w:snapToGrid w:val="0"/>
                    <w:spacing w:line="240" w:lineRule="auto"/>
                    <w:jc w:val="center"/>
                    <w:rPr>
                      <w:rFonts w:hint="eastAsia" w:ascii="宋体" w:hAnsi="宋体" w:eastAsia="宋体" w:cs="宋体"/>
                      <w:b/>
                      <w:bCs/>
                      <w:color w:val="auto"/>
                      <w:kern w:val="2"/>
                      <w:sz w:val="24"/>
                      <w:szCs w:val="24"/>
                      <w:highlight w:val="none"/>
                      <w:lang w:val="en-US" w:eastAsia="zh-CN" w:bidi="ar-SA"/>
                    </w:rPr>
                  </w:pPr>
                  <w:r>
                    <w:rPr>
                      <w:rFonts w:hint="eastAsia" w:ascii="宋体" w:hAnsi="宋体" w:eastAsia="宋体" w:cs="宋体"/>
                      <w:b/>
                      <w:bCs/>
                      <w:color w:val="auto"/>
                      <w:sz w:val="24"/>
                      <w:szCs w:val="24"/>
                      <w:highlight w:val="none"/>
                    </w:rPr>
                    <w:t>公称口径</w:t>
                  </w:r>
                </w:p>
              </w:tc>
              <w:tc>
                <w:tcPr>
                  <w:tcW w:w="2727" w:type="dxa"/>
                  <w:shd w:val="clear" w:color="auto" w:fill="auto"/>
                  <w:vAlign w:val="center"/>
                </w:tcPr>
                <w:p w14:paraId="7157253E">
                  <w:pPr>
                    <w:adjustRightInd w:val="0"/>
                    <w:snapToGrid w:val="0"/>
                    <w:spacing w:line="240" w:lineRule="auto"/>
                    <w:jc w:val="center"/>
                    <w:rPr>
                      <w:rFonts w:hint="eastAsia" w:ascii="宋体" w:hAnsi="宋体" w:eastAsia="宋体" w:cs="宋体"/>
                      <w:b/>
                      <w:bCs/>
                      <w:color w:val="auto"/>
                      <w:kern w:val="2"/>
                      <w:sz w:val="24"/>
                      <w:szCs w:val="24"/>
                      <w:highlight w:val="none"/>
                      <w:lang w:val="en-US" w:eastAsia="zh-CN" w:bidi="ar-SA"/>
                    </w:rPr>
                  </w:pPr>
                  <w:r>
                    <w:rPr>
                      <w:rFonts w:hint="eastAsia" w:ascii="宋体" w:hAnsi="宋体" w:eastAsia="宋体" w:cs="宋体"/>
                      <w:b/>
                      <w:bCs/>
                      <w:color w:val="auto"/>
                      <w:sz w:val="24"/>
                      <w:szCs w:val="24"/>
                      <w:highlight w:val="none"/>
                    </w:rPr>
                    <w:t>Q3(m3/h)</w:t>
                  </w:r>
                </w:p>
              </w:tc>
              <w:tc>
                <w:tcPr>
                  <w:tcW w:w="2657" w:type="dxa"/>
                  <w:shd w:val="clear" w:color="auto" w:fill="auto"/>
                  <w:vAlign w:val="center"/>
                </w:tcPr>
                <w:p w14:paraId="5F8BD53F">
                  <w:pPr>
                    <w:adjustRightInd w:val="0"/>
                    <w:snapToGrid w:val="0"/>
                    <w:spacing w:line="240" w:lineRule="auto"/>
                    <w:jc w:val="center"/>
                    <w:rPr>
                      <w:rFonts w:hint="eastAsia" w:ascii="宋体" w:hAnsi="宋体" w:eastAsia="宋体" w:cs="宋体"/>
                      <w:b/>
                      <w:bCs/>
                      <w:color w:val="auto"/>
                      <w:kern w:val="2"/>
                      <w:sz w:val="24"/>
                      <w:szCs w:val="24"/>
                      <w:highlight w:val="none"/>
                      <w:lang w:val="en-US" w:eastAsia="zh-CN" w:bidi="ar-SA"/>
                    </w:rPr>
                  </w:pPr>
                  <w:r>
                    <w:rPr>
                      <w:rFonts w:hint="eastAsia" w:ascii="宋体" w:hAnsi="宋体" w:eastAsia="宋体" w:cs="宋体"/>
                      <w:b/>
                      <w:bCs/>
                      <w:color w:val="auto"/>
                      <w:sz w:val="24"/>
                      <w:szCs w:val="24"/>
                      <w:highlight w:val="none"/>
                    </w:rPr>
                    <w:t>Q3/Q1（R值）</w:t>
                  </w:r>
                </w:p>
              </w:tc>
              <w:tc>
                <w:tcPr>
                  <w:tcW w:w="2033" w:type="dxa"/>
                  <w:shd w:val="clear" w:color="auto" w:fill="auto"/>
                  <w:vAlign w:val="center"/>
                </w:tcPr>
                <w:p w14:paraId="2EE9B6AE">
                  <w:pPr>
                    <w:adjustRightInd w:val="0"/>
                    <w:snapToGrid w:val="0"/>
                    <w:spacing w:line="240" w:lineRule="auto"/>
                    <w:jc w:val="center"/>
                    <w:rPr>
                      <w:rFonts w:hint="eastAsia" w:ascii="宋体" w:hAnsi="宋体" w:eastAsia="宋体" w:cs="宋体"/>
                      <w:b/>
                      <w:bCs/>
                      <w:color w:val="auto"/>
                      <w:kern w:val="2"/>
                      <w:sz w:val="24"/>
                      <w:szCs w:val="24"/>
                      <w:highlight w:val="none"/>
                      <w:lang w:val="en-US" w:eastAsia="zh-CN" w:bidi="ar-SA"/>
                    </w:rPr>
                  </w:pPr>
                  <w:r>
                    <w:rPr>
                      <w:rFonts w:hint="eastAsia" w:ascii="宋体" w:hAnsi="宋体" w:eastAsia="宋体" w:cs="宋体"/>
                      <w:b/>
                      <w:bCs/>
                      <w:color w:val="auto"/>
                      <w:sz w:val="24"/>
                      <w:szCs w:val="24"/>
                      <w:highlight w:val="none"/>
                    </w:rPr>
                    <w:t>Q2/Q1</w:t>
                  </w:r>
                </w:p>
              </w:tc>
            </w:tr>
            <w:tr w14:paraId="7BBD29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4" w:type="dxa"/>
                  <w:shd w:val="clear" w:color="auto" w:fill="auto"/>
                  <w:vAlign w:val="center"/>
                </w:tcPr>
                <w:p w14:paraId="67D8E1E6">
                  <w:pPr>
                    <w:adjustRightInd w:val="0"/>
                    <w:snapToGrid w:val="0"/>
                    <w:spacing w:line="240" w:lineRule="auto"/>
                    <w:ind w:firstLine="480" w:firstLineChars="200"/>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DN15</w:t>
                  </w:r>
                </w:p>
              </w:tc>
              <w:tc>
                <w:tcPr>
                  <w:tcW w:w="2727" w:type="dxa"/>
                  <w:shd w:val="clear" w:color="auto" w:fill="auto"/>
                  <w:vAlign w:val="center"/>
                </w:tcPr>
                <w:p w14:paraId="6AD8A2F6">
                  <w:pPr>
                    <w:adjustRightInd w:val="0"/>
                    <w:snapToGrid w:val="0"/>
                    <w:spacing w:line="240" w:lineRule="auto"/>
                    <w:jc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≥2.5</w:t>
                  </w:r>
                </w:p>
              </w:tc>
              <w:tc>
                <w:tcPr>
                  <w:tcW w:w="2657" w:type="dxa"/>
                  <w:shd w:val="clear" w:color="auto" w:fill="auto"/>
                  <w:vAlign w:val="center"/>
                </w:tcPr>
                <w:p w14:paraId="2C663008">
                  <w:pPr>
                    <w:adjustRightInd w:val="0"/>
                    <w:snapToGrid w:val="0"/>
                    <w:spacing w:line="240" w:lineRule="auto"/>
                    <w:jc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≥100</w:t>
                  </w:r>
                </w:p>
              </w:tc>
              <w:tc>
                <w:tcPr>
                  <w:tcW w:w="2033" w:type="dxa"/>
                  <w:shd w:val="clear" w:color="auto" w:fill="auto"/>
                  <w:vAlign w:val="center"/>
                </w:tcPr>
                <w:p w14:paraId="36D2A5C7">
                  <w:pPr>
                    <w:adjustRightInd w:val="0"/>
                    <w:snapToGrid w:val="0"/>
                    <w:spacing w:line="240" w:lineRule="auto"/>
                    <w:jc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1.6</w:t>
                  </w:r>
                </w:p>
              </w:tc>
            </w:tr>
            <w:tr w14:paraId="77633D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4" w:type="dxa"/>
                  <w:shd w:val="clear" w:color="auto" w:fill="auto"/>
                  <w:vAlign w:val="center"/>
                </w:tcPr>
                <w:p w14:paraId="7B58978C">
                  <w:pPr>
                    <w:adjustRightInd w:val="0"/>
                    <w:snapToGrid w:val="0"/>
                    <w:spacing w:line="240" w:lineRule="auto"/>
                    <w:ind w:firstLine="480" w:firstLineChars="200"/>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DN20</w:t>
                  </w:r>
                </w:p>
              </w:tc>
              <w:tc>
                <w:tcPr>
                  <w:tcW w:w="2727" w:type="dxa"/>
                  <w:shd w:val="clear" w:color="auto" w:fill="auto"/>
                  <w:vAlign w:val="center"/>
                </w:tcPr>
                <w:p w14:paraId="59CF42D3">
                  <w:pPr>
                    <w:adjustRightInd w:val="0"/>
                    <w:snapToGrid w:val="0"/>
                    <w:spacing w:line="240" w:lineRule="auto"/>
                    <w:jc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≥4.0</w:t>
                  </w:r>
                </w:p>
              </w:tc>
              <w:tc>
                <w:tcPr>
                  <w:tcW w:w="2657" w:type="dxa"/>
                  <w:shd w:val="clear" w:color="auto" w:fill="auto"/>
                  <w:vAlign w:val="center"/>
                </w:tcPr>
                <w:p w14:paraId="0C0A35AD">
                  <w:pPr>
                    <w:adjustRightInd w:val="0"/>
                    <w:snapToGrid w:val="0"/>
                    <w:spacing w:line="240" w:lineRule="auto"/>
                    <w:jc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≥100</w:t>
                  </w:r>
                </w:p>
              </w:tc>
              <w:tc>
                <w:tcPr>
                  <w:tcW w:w="2033" w:type="dxa"/>
                  <w:shd w:val="clear" w:color="auto" w:fill="auto"/>
                  <w:vAlign w:val="center"/>
                </w:tcPr>
                <w:p w14:paraId="7D8FF12F">
                  <w:pPr>
                    <w:adjustRightInd w:val="0"/>
                    <w:snapToGrid w:val="0"/>
                    <w:spacing w:line="240" w:lineRule="auto"/>
                    <w:jc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1.6</w:t>
                  </w:r>
                </w:p>
              </w:tc>
            </w:tr>
            <w:tr w14:paraId="36B8A4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4" w:type="dxa"/>
                  <w:shd w:val="clear" w:color="auto" w:fill="auto"/>
                  <w:vAlign w:val="center"/>
                </w:tcPr>
                <w:p w14:paraId="7BD28CA4">
                  <w:pPr>
                    <w:adjustRightInd w:val="0"/>
                    <w:snapToGrid w:val="0"/>
                    <w:spacing w:line="240" w:lineRule="auto"/>
                    <w:ind w:firstLine="480" w:firstLineChars="200"/>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DN25</w:t>
                  </w:r>
                </w:p>
              </w:tc>
              <w:tc>
                <w:tcPr>
                  <w:tcW w:w="2727" w:type="dxa"/>
                  <w:shd w:val="clear" w:color="auto" w:fill="auto"/>
                  <w:vAlign w:val="center"/>
                </w:tcPr>
                <w:p w14:paraId="102F8267">
                  <w:pPr>
                    <w:adjustRightInd w:val="0"/>
                    <w:snapToGrid w:val="0"/>
                    <w:spacing w:line="240" w:lineRule="auto"/>
                    <w:jc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≥6.3</w:t>
                  </w:r>
                </w:p>
              </w:tc>
              <w:tc>
                <w:tcPr>
                  <w:tcW w:w="2657" w:type="dxa"/>
                  <w:shd w:val="clear" w:color="auto" w:fill="auto"/>
                  <w:vAlign w:val="center"/>
                </w:tcPr>
                <w:p w14:paraId="0542E739">
                  <w:pPr>
                    <w:adjustRightInd w:val="0"/>
                    <w:snapToGrid w:val="0"/>
                    <w:spacing w:line="240" w:lineRule="auto"/>
                    <w:jc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≥100</w:t>
                  </w:r>
                </w:p>
              </w:tc>
              <w:tc>
                <w:tcPr>
                  <w:tcW w:w="2033" w:type="dxa"/>
                  <w:shd w:val="clear" w:color="auto" w:fill="auto"/>
                  <w:vAlign w:val="center"/>
                </w:tcPr>
                <w:p w14:paraId="020FA2C8">
                  <w:pPr>
                    <w:adjustRightInd w:val="0"/>
                    <w:snapToGrid w:val="0"/>
                    <w:spacing w:line="240" w:lineRule="auto"/>
                    <w:jc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1.6</w:t>
                  </w:r>
                </w:p>
              </w:tc>
            </w:tr>
            <w:tr w14:paraId="32B18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4" w:type="dxa"/>
                  <w:shd w:val="clear" w:color="auto" w:fill="auto"/>
                  <w:vAlign w:val="center"/>
                </w:tcPr>
                <w:p w14:paraId="3C504EFE">
                  <w:pPr>
                    <w:adjustRightInd w:val="0"/>
                    <w:snapToGrid w:val="0"/>
                    <w:spacing w:line="240" w:lineRule="auto"/>
                    <w:ind w:firstLine="480" w:firstLineChars="200"/>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DN40</w:t>
                  </w:r>
                </w:p>
              </w:tc>
              <w:tc>
                <w:tcPr>
                  <w:tcW w:w="2727" w:type="dxa"/>
                  <w:shd w:val="clear" w:color="auto" w:fill="auto"/>
                  <w:vAlign w:val="center"/>
                </w:tcPr>
                <w:p w14:paraId="490904E5">
                  <w:pPr>
                    <w:adjustRightInd w:val="0"/>
                    <w:snapToGrid w:val="0"/>
                    <w:spacing w:line="240" w:lineRule="auto"/>
                    <w:jc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≥16</w:t>
                  </w:r>
                </w:p>
              </w:tc>
              <w:tc>
                <w:tcPr>
                  <w:tcW w:w="2657" w:type="dxa"/>
                  <w:shd w:val="clear" w:color="auto" w:fill="auto"/>
                  <w:vAlign w:val="center"/>
                </w:tcPr>
                <w:p w14:paraId="7EF50D20">
                  <w:pPr>
                    <w:adjustRightInd w:val="0"/>
                    <w:snapToGrid w:val="0"/>
                    <w:spacing w:line="240" w:lineRule="auto"/>
                    <w:jc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≥160</w:t>
                  </w:r>
                </w:p>
              </w:tc>
              <w:tc>
                <w:tcPr>
                  <w:tcW w:w="2033" w:type="dxa"/>
                  <w:shd w:val="clear" w:color="auto" w:fill="auto"/>
                  <w:vAlign w:val="center"/>
                </w:tcPr>
                <w:p w14:paraId="4812F9A6">
                  <w:pPr>
                    <w:adjustRightInd w:val="0"/>
                    <w:snapToGrid w:val="0"/>
                    <w:spacing w:line="240" w:lineRule="auto"/>
                    <w:jc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1.6</w:t>
                  </w:r>
                </w:p>
              </w:tc>
            </w:tr>
            <w:tr w14:paraId="378943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4" w:type="dxa"/>
                  <w:shd w:val="clear" w:color="auto" w:fill="auto"/>
                  <w:vAlign w:val="center"/>
                </w:tcPr>
                <w:p w14:paraId="4EF51F65">
                  <w:pPr>
                    <w:adjustRightInd w:val="0"/>
                    <w:snapToGrid w:val="0"/>
                    <w:spacing w:line="240" w:lineRule="auto"/>
                    <w:ind w:firstLine="480" w:firstLineChars="200"/>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DN50</w:t>
                  </w:r>
                </w:p>
              </w:tc>
              <w:tc>
                <w:tcPr>
                  <w:tcW w:w="2727" w:type="dxa"/>
                  <w:shd w:val="clear" w:color="auto" w:fill="auto"/>
                  <w:vAlign w:val="center"/>
                </w:tcPr>
                <w:p w14:paraId="0D21171E">
                  <w:pPr>
                    <w:adjustRightInd w:val="0"/>
                    <w:snapToGrid w:val="0"/>
                    <w:spacing w:line="240" w:lineRule="auto"/>
                    <w:jc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≥40</w:t>
                  </w:r>
                </w:p>
              </w:tc>
              <w:tc>
                <w:tcPr>
                  <w:tcW w:w="2657" w:type="dxa"/>
                  <w:shd w:val="clear" w:color="auto" w:fill="auto"/>
                  <w:vAlign w:val="center"/>
                </w:tcPr>
                <w:p w14:paraId="4F173631">
                  <w:pPr>
                    <w:adjustRightInd w:val="0"/>
                    <w:snapToGrid w:val="0"/>
                    <w:spacing w:line="240" w:lineRule="auto"/>
                    <w:jc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≥200</w:t>
                  </w:r>
                </w:p>
              </w:tc>
              <w:tc>
                <w:tcPr>
                  <w:tcW w:w="2033" w:type="dxa"/>
                  <w:shd w:val="clear" w:color="auto" w:fill="auto"/>
                  <w:vAlign w:val="center"/>
                </w:tcPr>
                <w:p w14:paraId="5E025E3F">
                  <w:pPr>
                    <w:adjustRightInd w:val="0"/>
                    <w:snapToGrid w:val="0"/>
                    <w:spacing w:line="240" w:lineRule="auto"/>
                    <w:jc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1.6</w:t>
                  </w:r>
                </w:p>
              </w:tc>
            </w:tr>
            <w:tr w14:paraId="2DD2C0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4" w:type="dxa"/>
                  <w:shd w:val="clear" w:color="auto" w:fill="auto"/>
                  <w:vAlign w:val="center"/>
                </w:tcPr>
                <w:p w14:paraId="00A96686">
                  <w:pPr>
                    <w:adjustRightInd w:val="0"/>
                    <w:snapToGrid w:val="0"/>
                    <w:spacing w:line="240" w:lineRule="auto"/>
                    <w:ind w:firstLine="480" w:firstLineChars="200"/>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DN100</w:t>
                  </w:r>
                </w:p>
              </w:tc>
              <w:tc>
                <w:tcPr>
                  <w:tcW w:w="2727" w:type="dxa"/>
                  <w:shd w:val="clear" w:color="auto" w:fill="auto"/>
                  <w:vAlign w:val="center"/>
                </w:tcPr>
                <w:p w14:paraId="4CA0DA8B">
                  <w:pPr>
                    <w:adjustRightInd w:val="0"/>
                    <w:snapToGrid w:val="0"/>
                    <w:spacing w:line="240" w:lineRule="auto"/>
                    <w:jc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≥100</w:t>
                  </w:r>
                </w:p>
              </w:tc>
              <w:tc>
                <w:tcPr>
                  <w:tcW w:w="2657" w:type="dxa"/>
                  <w:shd w:val="clear" w:color="auto" w:fill="auto"/>
                  <w:vAlign w:val="center"/>
                </w:tcPr>
                <w:p w14:paraId="25B2E943">
                  <w:pPr>
                    <w:adjustRightInd w:val="0"/>
                    <w:snapToGrid w:val="0"/>
                    <w:spacing w:line="240" w:lineRule="auto"/>
                    <w:jc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≥200</w:t>
                  </w:r>
                </w:p>
              </w:tc>
              <w:tc>
                <w:tcPr>
                  <w:tcW w:w="2033" w:type="dxa"/>
                  <w:shd w:val="clear" w:color="auto" w:fill="auto"/>
                  <w:vAlign w:val="center"/>
                </w:tcPr>
                <w:p w14:paraId="2760C5FE">
                  <w:pPr>
                    <w:adjustRightInd w:val="0"/>
                    <w:snapToGrid w:val="0"/>
                    <w:spacing w:line="240" w:lineRule="auto"/>
                    <w:jc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1.6</w:t>
                  </w:r>
                </w:p>
              </w:tc>
            </w:tr>
          </w:tbl>
          <w:p w14:paraId="433220F0">
            <w:pPr>
              <w:keepNext w:val="0"/>
              <w:keepLines w:val="0"/>
              <w:widowControl/>
              <w:suppressLineNumbers w:val="0"/>
              <w:jc w:val="left"/>
              <w:textAlignment w:val="center"/>
              <w:rPr>
                <w:rFonts w:hint="eastAsia" w:ascii="宋体" w:hAnsi="宋体" w:eastAsia="宋体" w:cs="宋体"/>
                <w:b w:val="0"/>
                <w:bCs w:val="0"/>
                <w:i w:val="0"/>
                <w:iCs w:val="0"/>
                <w:color w:val="auto"/>
                <w:kern w:val="0"/>
                <w:sz w:val="24"/>
                <w:szCs w:val="24"/>
                <w:highlight w:val="none"/>
                <w:u w:val="none"/>
                <w:lang w:val="en-US" w:eastAsia="zh-CN" w:bidi="ar"/>
              </w:rPr>
            </w:pPr>
            <w:r>
              <w:rPr>
                <w:rFonts w:hint="eastAsia" w:ascii="宋体" w:hAnsi="宋体" w:eastAsia="宋体" w:cs="宋体"/>
                <w:b w:val="0"/>
                <w:bCs w:val="0"/>
                <w:i w:val="0"/>
                <w:iCs w:val="0"/>
                <w:color w:val="auto"/>
                <w:kern w:val="0"/>
                <w:sz w:val="24"/>
                <w:szCs w:val="24"/>
                <w:highlight w:val="none"/>
                <w:u w:val="none"/>
                <w:lang w:val="en-US" w:eastAsia="zh-CN" w:bidi="ar"/>
              </w:rPr>
              <w:t>2.2温度等级为T30；</w:t>
            </w:r>
          </w:p>
          <w:p w14:paraId="42ABF3C9">
            <w:pPr>
              <w:keepNext w:val="0"/>
              <w:keepLines w:val="0"/>
              <w:widowControl/>
              <w:suppressLineNumbers w:val="0"/>
              <w:jc w:val="left"/>
              <w:textAlignment w:val="center"/>
              <w:rPr>
                <w:rFonts w:hint="eastAsia" w:ascii="宋体" w:hAnsi="宋体" w:eastAsia="宋体" w:cs="宋体"/>
                <w:b w:val="0"/>
                <w:bCs w:val="0"/>
                <w:i w:val="0"/>
                <w:iCs w:val="0"/>
                <w:color w:val="auto"/>
                <w:kern w:val="0"/>
                <w:sz w:val="24"/>
                <w:szCs w:val="24"/>
                <w:highlight w:val="none"/>
                <w:u w:val="none"/>
                <w:lang w:val="en-US" w:eastAsia="zh-CN" w:bidi="ar"/>
              </w:rPr>
            </w:pPr>
            <w:r>
              <w:rPr>
                <w:rFonts w:hint="eastAsia" w:ascii="宋体" w:hAnsi="宋体" w:eastAsia="宋体" w:cs="宋体"/>
                <w:b w:val="0"/>
                <w:bCs w:val="0"/>
                <w:i w:val="0"/>
                <w:iCs w:val="0"/>
                <w:color w:val="auto"/>
                <w:kern w:val="0"/>
                <w:sz w:val="24"/>
                <w:szCs w:val="24"/>
                <w:highlight w:val="none"/>
                <w:u w:val="none"/>
                <w:lang w:val="en-US" w:eastAsia="zh-CN" w:bidi="ar"/>
              </w:rPr>
              <w:t>2.3水压等级为MAP10。</w:t>
            </w:r>
          </w:p>
          <w:p w14:paraId="32D34723">
            <w:pPr>
              <w:keepNext w:val="0"/>
              <w:keepLines w:val="0"/>
              <w:widowControl/>
              <w:suppressLineNumbers w:val="0"/>
              <w:jc w:val="left"/>
              <w:textAlignment w:val="center"/>
              <w:rPr>
                <w:rFonts w:hint="eastAsia" w:ascii="宋体" w:hAnsi="宋体" w:eastAsia="宋体" w:cs="宋体"/>
                <w:b w:val="0"/>
                <w:bCs w:val="0"/>
                <w:i w:val="0"/>
                <w:iCs w:val="0"/>
                <w:color w:val="auto"/>
                <w:kern w:val="0"/>
                <w:sz w:val="24"/>
                <w:szCs w:val="24"/>
                <w:highlight w:val="none"/>
                <w:u w:val="none"/>
                <w:lang w:val="en-US" w:eastAsia="zh-CN" w:bidi="ar"/>
              </w:rPr>
            </w:pPr>
            <w:r>
              <w:rPr>
                <w:rFonts w:hint="eastAsia" w:ascii="宋体" w:hAnsi="宋体" w:eastAsia="宋体" w:cs="宋体"/>
                <w:b w:val="0"/>
                <w:bCs w:val="0"/>
                <w:i w:val="0"/>
                <w:iCs w:val="0"/>
                <w:color w:val="auto"/>
                <w:kern w:val="0"/>
                <w:sz w:val="24"/>
                <w:szCs w:val="24"/>
                <w:highlight w:val="none"/>
                <w:u w:val="none"/>
                <w:lang w:val="en-US" w:eastAsia="zh-CN" w:bidi="ar"/>
              </w:rPr>
              <w:t>3、静压试验：</w:t>
            </w:r>
          </w:p>
          <w:p w14:paraId="19B36E6C">
            <w:pPr>
              <w:keepNext w:val="0"/>
              <w:keepLines w:val="0"/>
              <w:widowControl/>
              <w:suppressLineNumbers w:val="0"/>
              <w:jc w:val="left"/>
              <w:textAlignment w:val="center"/>
              <w:rPr>
                <w:rFonts w:hint="eastAsia" w:ascii="宋体" w:hAnsi="宋体" w:eastAsia="宋体" w:cs="宋体"/>
                <w:b w:val="0"/>
                <w:bCs w:val="0"/>
                <w:i w:val="0"/>
                <w:iCs w:val="0"/>
                <w:color w:val="auto"/>
                <w:kern w:val="0"/>
                <w:sz w:val="24"/>
                <w:szCs w:val="24"/>
                <w:highlight w:val="none"/>
                <w:u w:val="none"/>
                <w:lang w:val="en-US" w:eastAsia="zh-CN" w:bidi="ar"/>
              </w:rPr>
            </w:pPr>
            <w:r>
              <w:rPr>
                <w:rFonts w:hint="eastAsia" w:ascii="宋体" w:hAnsi="宋体" w:eastAsia="宋体" w:cs="宋体"/>
                <w:b w:val="0"/>
                <w:bCs w:val="0"/>
                <w:i w:val="0"/>
                <w:iCs w:val="0"/>
                <w:color w:val="auto"/>
                <w:kern w:val="0"/>
                <w:sz w:val="24"/>
                <w:szCs w:val="24"/>
                <w:highlight w:val="none"/>
                <w:u w:val="none"/>
                <w:lang w:val="en-US" w:eastAsia="zh-CN" w:bidi="ar"/>
              </w:rPr>
              <w:t>3.1水表应承受压力为1.6MPa并持续15min的水压强度试验，不应有可见的泄露、指示装置进水或机械损坏；</w:t>
            </w:r>
          </w:p>
          <w:p w14:paraId="7C88C22B">
            <w:pPr>
              <w:keepNext w:val="0"/>
              <w:keepLines w:val="0"/>
              <w:widowControl/>
              <w:suppressLineNumbers w:val="0"/>
              <w:jc w:val="left"/>
              <w:textAlignment w:val="center"/>
              <w:rPr>
                <w:rFonts w:hint="eastAsia" w:ascii="宋体" w:hAnsi="宋体" w:eastAsia="宋体" w:cs="宋体"/>
                <w:b w:val="0"/>
                <w:bCs w:val="0"/>
                <w:i w:val="0"/>
                <w:iCs w:val="0"/>
                <w:color w:val="auto"/>
                <w:kern w:val="0"/>
                <w:sz w:val="24"/>
                <w:szCs w:val="24"/>
                <w:highlight w:val="none"/>
                <w:u w:val="none"/>
                <w:lang w:val="en-US" w:eastAsia="zh-CN" w:bidi="ar"/>
              </w:rPr>
            </w:pPr>
            <w:r>
              <w:rPr>
                <w:rFonts w:hint="eastAsia" w:ascii="宋体" w:hAnsi="宋体" w:eastAsia="宋体" w:cs="宋体"/>
                <w:b w:val="0"/>
                <w:bCs w:val="0"/>
                <w:i w:val="0"/>
                <w:iCs w:val="0"/>
                <w:color w:val="auto"/>
                <w:kern w:val="0"/>
                <w:sz w:val="24"/>
                <w:szCs w:val="24"/>
                <w:highlight w:val="none"/>
                <w:u w:val="none"/>
                <w:lang w:val="en-US" w:eastAsia="zh-CN" w:bidi="ar"/>
              </w:rPr>
              <w:t>3.2水表应承受压力为2.0MPa并持续1min的水压强度试验（试验期间流量应为0），不应有可见的泄露、指示装置进水或机械损坏。</w:t>
            </w:r>
          </w:p>
          <w:p w14:paraId="09D32256">
            <w:pPr>
              <w:keepNext w:val="0"/>
              <w:keepLines w:val="0"/>
              <w:widowControl/>
              <w:suppressLineNumbers w:val="0"/>
              <w:jc w:val="left"/>
              <w:textAlignment w:val="center"/>
              <w:rPr>
                <w:rFonts w:hint="eastAsia" w:ascii="宋体" w:hAnsi="宋体" w:eastAsia="宋体" w:cs="宋体"/>
                <w:b w:val="0"/>
                <w:bCs w:val="0"/>
                <w:i w:val="0"/>
                <w:iCs w:val="0"/>
                <w:color w:val="auto"/>
                <w:kern w:val="0"/>
                <w:sz w:val="24"/>
                <w:szCs w:val="24"/>
                <w:highlight w:val="none"/>
                <w:u w:val="none"/>
                <w:lang w:val="en-US" w:eastAsia="zh-CN" w:bidi="ar"/>
              </w:rPr>
            </w:pPr>
            <w:r>
              <w:rPr>
                <w:rFonts w:hint="eastAsia" w:ascii="宋体" w:hAnsi="宋体" w:eastAsia="宋体" w:cs="宋体"/>
                <w:b w:val="0"/>
                <w:bCs w:val="0"/>
                <w:i w:val="0"/>
                <w:iCs w:val="0"/>
                <w:color w:val="auto"/>
                <w:kern w:val="0"/>
                <w:sz w:val="24"/>
                <w:szCs w:val="24"/>
                <w:highlight w:val="none"/>
                <w:u w:val="none"/>
                <w:lang w:val="en-US" w:eastAsia="zh-CN" w:bidi="ar"/>
              </w:rPr>
              <w:t>4、示值误差试验：</w:t>
            </w:r>
          </w:p>
          <w:p w14:paraId="0DA36D48">
            <w:pPr>
              <w:keepNext w:val="0"/>
              <w:keepLines w:val="0"/>
              <w:widowControl/>
              <w:suppressLineNumbers w:val="0"/>
              <w:jc w:val="left"/>
              <w:textAlignment w:val="center"/>
              <w:rPr>
                <w:rFonts w:hint="eastAsia" w:ascii="宋体" w:hAnsi="宋体" w:eastAsia="宋体" w:cs="宋体"/>
                <w:b w:val="0"/>
                <w:bCs w:val="0"/>
                <w:i w:val="0"/>
                <w:iCs w:val="0"/>
                <w:color w:val="auto"/>
                <w:kern w:val="0"/>
                <w:sz w:val="24"/>
                <w:szCs w:val="24"/>
                <w:highlight w:val="none"/>
                <w:u w:val="none"/>
                <w:lang w:val="en-US" w:eastAsia="zh-CN" w:bidi="ar"/>
              </w:rPr>
            </w:pPr>
            <w:r>
              <w:rPr>
                <w:rFonts w:hint="eastAsia" w:ascii="宋体" w:hAnsi="宋体" w:eastAsia="宋体" w:cs="宋体"/>
                <w:b w:val="0"/>
                <w:bCs w:val="0"/>
                <w:i w:val="0"/>
                <w:iCs w:val="0"/>
                <w:color w:val="auto"/>
                <w:kern w:val="0"/>
                <w:sz w:val="24"/>
                <w:szCs w:val="24"/>
                <w:highlight w:val="none"/>
                <w:u w:val="none"/>
                <w:lang w:val="en-US" w:eastAsia="zh-CN" w:bidi="ar"/>
              </w:rPr>
              <w:t>示值误差应符合JJG162-2019《饮用冷水水表检定规程》要求：</w:t>
            </w:r>
          </w:p>
          <w:p w14:paraId="0C01C16D">
            <w:pPr>
              <w:keepNext w:val="0"/>
              <w:keepLines w:val="0"/>
              <w:widowControl/>
              <w:suppressLineNumbers w:val="0"/>
              <w:jc w:val="left"/>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4.1 Q1～Q2(不包括Q2)的高区：±2.0%；</w:t>
            </w:r>
          </w:p>
          <w:p w14:paraId="13E84E67">
            <w:pPr>
              <w:keepNext w:val="0"/>
              <w:keepLines w:val="0"/>
              <w:widowControl/>
              <w:suppressLineNumbers w:val="0"/>
              <w:jc w:val="left"/>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4.2 Q2（包括Q2)～Q4的低区：±5.0%。</w:t>
            </w:r>
          </w:p>
          <w:p w14:paraId="43BC7A61">
            <w:pPr>
              <w:keepNext w:val="0"/>
              <w:keepLines w:val="0"/>
              <w:widowControl/>
              <w:suppressLineNumbers w:val="0"/>
              <w:jc w:val="left"/>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5、压力损失试验：</w:t>
            </w:r>
          </w:p>
          <w:p w14:paraId="32600162">
            <w:pPr>
              <w:keepNext w:val="0"/>
              <w:keepLines w:val="0"/>
              <w:widowControl/>
              <w:suppressLineNumbers w:val="0"/>
              <w:jc w:val="left"/>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在Q1～Q3（包括Q3)范围内的任意流量下，水表的压力损失应不超过0.063MPa。</w:t>
            </w:r>
          </w:p>
          <w:p w14:paraId="045A96AA">
            <w:pPr>
              <w:keepNext w:val="0"/>
              <w:keepLines w:val="0"/>
              <w:widowControl/>
              <w:suppressLineNumbers w:val="0"/>
              <w:jc w:val="left"/>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6、水表上所有接触水的零部件和防护材料应采用无毒、无污染、无生物活性的材料制造，且该材料应有足够的强度和耐用度，同时应耐水和大气等通常的内外腐蚀，或采用可靠的处理加以保护。</w:t>
            </w:r>
          </w:p>
          <w:p w14:paraId="46EBDBBC">
            <w:pPr>
              <w:keepNext w:val="0"/>
              <w:keepLines w:val="0"/>
              <w:widowControl/>
              <w:suppressLineNumbers w:val="0"/>
              <w:jc w:val="left"/>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6.1罩子：锻造铅黄铜（ZCuZn40Pb2）材质；</w:t>
            </w:r>
          </w:p>
          <w:p w14:paraId="775C95DE">
            <w:pPr>
              <w:keepNext w:val="0"/>
              <w:keepLines w:val="0"/>
              <w:widowControl/>
              <w:suppressLineNumbers w:val="0"/>
              <w:jc w:val="left"/>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6.2表玻璃：钢化玻璃，符合JB/T 8480-1996《湿式水表用钢化表玻璃》标准；</w:t>
            </w:r>
          </w:p>
          <w:p w14:paraId="13B708FF">
            <w:pPr>
              <w:keepNext w:val="0"/>
              <w:keepLines w:val="0"/>
              <w:widowControl/>
              <w:suppressLineNumbers w:val="0"/>
              <w:jc w:val="left"/>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6.3表壳：球墨铸铁材质或304不锈钢材质，且符</w:t>
            </w:r>
            <w:r>
              <w:rPr>
                <w:rFonts w:hint="eastAsia" w:ascii="宋体" w:hAnsi="宋体" w:eastAsia="宋体" w:cs="宋体"/>
                <w:b w:val="0"/>
                <w:bCs w:val="0"/>
                <w:i w:val="0"/>
                <w:iCs w:val="0"/>
                <w:color w:val="000000"/>
                <w:kern w:val="0"/>
                <w:sz w:val="24"/>
                <w:szCs w:val="24"/>
                <w:highlight w:val="none"/>
                <w:u w:val="none"/>
                <w:lang w:val="en-US" w:eastAsia="zh-CN" w:bidi="ar"/>
              </w:rPr>
              <w:t>合CMA/WM778《小口</w:t>
            </w:r>
            <w:r>
              <w:rPr>
                <w:rFonts w:hint="eastAsia" w:ascii="宋体" w:hAnsi="宋体" w:eastAsia="宋体" w:cs="宋体"/>
                <w:b w:val="0"/>
                <w:bCs w:val="0"/>
                <w:i w:val="0"/>
                <w:iCs w:val="0"/>
                <w:color w:val="000000"/>
                <w:kern w:val="0"/>
                <w:sz w:val="24"/>
                <w:szCs w:val="24"/>
                <w:u w:val="none"/>
                <w:lang w:val="en-US" w:eastAsia="zh-CN" w:bidi="ar"/>
              </w:rPr>
              <w:t>径饮用冷水水表表壳技术规范》相关要求；</w:t>
            </w:r>
          </w:p>
          <w:p w14:paraId="5A44D8D3">
            <w:pPr>
              <w:keepNext w:val="0"/>
              <w:keepLines w:val="0"/>
              <w:widowControl/>
              <w:suppressLineNumbers w:val="0"/>
              <w:jc w:val="left"/>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6.4连接螺母：锻造铅黄铜（ZCuZn40Pb2），符合GB/T 1176-2013《铸造铜及铜合金标准》；</w:t>
            </w:r>
          </w:p>
          <w:p w14:paraId="0C4CBD02">
            <w:pPr>
              <w:keepNext w:val="0"/>
              <w:keepLines w:val="0"/>
              <w:widowControl/>
              <w:suppressLineNumbers w:val="0"/>
              <w:jc w:val="left"/>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6.5管接头：锻造铅黄铜（ZCuZn40Pb2），符合GB/T 1176-2013《铸造铜及铜合金标准》（表壳上、管接头应有可供封印的孔洞。）；止回阀芯；塑料件材质：ABS或POM，密封圈：EPDM，弹簧材质：304不锈钢，与管接头紧密配合、不松动，材质符合国家饮用水卫生标准且需满足水阻小、不卡异物等。</w:t>
            </w:r>
          </w:p>
          <w:p w14:paraId="2FDA0D7D">
            <w:pPr>
              <w:keepNext w:val="0"/>
              <w:keepLines w:val="0"/>
              <w:widowControl/>
              <w:suppressLineNumbers w:val="0"/>
              <w:jc w:val="left"/>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6.6防护材料：投标单位须在投标文件中注明其水表表壳内外防护材料材质及相应的处理工艺。</w:t>
            </w:r>
          </w:p>
          <w:p w14:paraId="4C3A8FC8">
            <w:pPr>
              <w:keepNext w:val="0"/>
              <w:keepLines w:val="0"/>
              <w:widowControl/>
              <w:suppressLineNumbers w:val="0"/>
              <w:jc w:val="left"/>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7、技术标准：</w:t>
            </w:r>
          </w:p>
          <w:p w14:paraId="661AF828">
            <w:pPr>
              <w:keepNext w:val="0"/>
              <w:keepLines w:val="0"/>
              <w:widowControl/>
              <w:suppressLineNumbers w:val="0"/>
              <w:jc w:val="left"/>
              <w:textAlignment w:val="center"/>
              <w:rPr>
                <w:rFonts w:hint="eastAsia" w:ascii="宋体" w:hAnsi="宋体" w:eastAsia="宋体" w:cs="宋体"/>
                <w:b w:val="0"/>
                <w:bCs w:val="0"/>
                <w:i w:val="0"/>
                <w:iCs w:val="0"/>
                <w:color w:val="auto"/>
                <w:kern w:val="0"/>
                <w:sz w:val="24"/>
                <w:szCs w:val="24"/>
                <w:highlight w:val="none"/>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本次公开招标的（NB-IoT）远传水表采用分体结构设计，基表必须选用半液封湿式冷水表</w:t>
            </w:r>
            <w:r>
              <w:rPr>
                <w:rFonts w:hint="eastAsia" w:ascii="宋体" w:hAnsi="宋体" w:eastAsia="宋体" w:cs="宋体"/>
                <w:b w:val="0"/>
                <w:bCs w:val="0"/>
                <w:i w:val="0"/>
                <w:iCs w:val="0"/>
                <w:color w:val="000000"/>
                <w:kern w:val="0"/>
                <w:sz w:val="24"/>
                <w:szCs w:val="24"/>
                <w:highlight w:val="none"/>
                <w:u w:val="none"/>
                <w:lang w:val="en-US" w:eastAsia="zh-CN" w:bidi="ar"/>
              </w:rPr>
              <w:t>配钢化玻璃，采用</w:t>
            </w:r>
            <w:r>
              <w:rPr>
                <w:rFonts w:hint="eastAsia" w:ascii="宋体" w:hAnsi="宋体" w:eastAsia="宋体" w:cs="宋体"/>
                <w:b w:val="0"/>
                <w:bCs w:val="0"/>
                <w:i w:val="0"/>
                <w:iCs w:val="0"/>
                <w:color w:val="auto"/>
                <w:kern w:val="0"/>
                <w:sz w:val="24"/>
                <w:szCs w:val="24"/>
                <w:highlight w:val="none"/>
                <w:u w:val="none"/>
                <w:lang w:val="en-US" w:eastAsia="zh-CN" w:bidi="ar"/>
              </w:rPr>
              <w:t>不锈钢无磁发讯指针。数据采集技术必须选用无磁技术。</w:t>
            </w:r>
          </w:p>
          <w:p w14:paraId="4CD0BF51">
            <w:pPr>
              <w:keepNext w:val="0"/>
              <w:keepLines w:val="0"/>
              <w:widowControl/>
              <w:suppressLineNumbers w:val="0"/>
              <w:jc w:val="left"/>
              <w:textAlignment w:val="center"/>
              <w:rPr>
                <w:rFonts w:hint="eastAsia" w:ascii="宋体" w:hAnsi="宋体" w:eastAsia="宋体" w:cs="宋体"/>
                <w:b w:val="0"/>
                <w:bCs w:val="0"/>
                <w:i w:val="0"/>
                <w:iCs w:val="0"/>
                <w:color w:val="auto"/>
                <w:kern w:val="0"/>
                <w:sz w:val="24"/>
                <w:szCs w:val="24"/>
                <w:highlight w:val="none"/>
                <w:u w:val="none"/>
                <w:lang w:val="en-US" w:eastAsia="zh-CN" w:bidi="ar"/>
              </w:rPr>
            </w:pPr>
            <w:r>
              <w:rPr>
                <w:rFonts w:hint="eastAsia" w:ascii="宋体" w:hAnsi="宋体" w:eastAsia="宋体" w:cs="宋体"/>
                <w:b w:val="0"/>
                <w:bCs w:val="0"/>
                <w:i w:val="0"/>
                <w:iCs w:val="0"/>
                <w:color w:val="auto"/>
                <w:kern w:val="0"/>
                <w:sz w:val="24"/>
                <w:szCs w:val="24"/>
                <w:highlight w:val="none"/>
                <w:u w:val="none"/>
                <w:lang w:val="en-US" w:eastAsia="zh-CN" w:bidi="ar"/>
              </w:rPr>
              <w:t>8、主要技术要求：</w:t>
            </w:r>
          </w:p>
          <w:p w14:paraId="35914DAE">
            <w:pPr>
              <w:keepNext w:val="0"/>
              <w:keepLines w:val="0"/>
              <w:widowControl/>
              <w:suppressLineNumbers w:val="0"/>
              <w:jc w:val="left"/>
              <w:textAlignment w:val="center"/>
              <w:rPr>
                <w:rFonts w:hint="default" w:ascii="宋体" w:hAnsi="宋体" w:eastAsia="宋体" w:cs="宋体"/>
                <w:b w:val="0"/>
                <w:bCs w:val="0"/>
                <w:i w:val="0"/>
                <w:iCs w:val="0"/>
                <w:color w:val="auto"/>
                <w:kern w:val="0"/>
                <w:sz w:val="24"/>
                <w:szCs w:val="24"/>
                <w:highlight w:val="none"/>
                <w:u w:val="none"/>
                <w:lang w:val="en-US" w:eastAsia="zh-CN" w:bidi="ar"/>
              </w:rPr>
            </w:pPr>
            <w:r>
              <w:rPr>
                <w:rFonts w:hint="eastAsia" w:ascii="宋体" w:hAnsi="宋体" w:eastAsia="宋体" w:cs="宋体"/>
                <w:b w:val="0"/>
                <w:bCs w:val="0"/>
                <w:i w:val="0"/>
                <w:iCs w:val="0"/>
                <w:color w:val="auto"/>
                <w:kern w:val="0"/>
                <w:sz w:val="24"/>
                <w:szCs w:val="24"/>
                <w:highlight w:val="none"/>
                <w:u w:val="none"/>
                <w:lang w:val="en-US" w:eastAsia="zh-CN" w:bidi="ar"/>
              </w:rPr>
              <w:t>1）《饮用冷水水表和热水水表》GB/T 778-2018</w:t>
            </w:r>
          </w:p>
          <w:p w14:paraId="2B9151A4">
            <w:pPr>
              <w:keepNext w:val="0"/>
              <w:keepLines w:val="0"/>
              <w:widowControl/>
              <w:suppressLineNumbers w:val="0"/>
              <w:jc w:val="left"/>
              <w:textAlignment w:val="center"/>
              <w:rPr>
                <w:rFonts w:hint="eastAsia" w:ascii="宋体" w:hAnsi="宋体" w:eastAsia="宋体" w:cs="宋体"/>
                <w:b w:val="0"/>
                <w:bCs w:val="0"/>
                <w:i w:val="0"/>
                <w:iCs w:val="0"/>
                <w:color w:val="auto"/>
                <w:kern w:val="0"/>
                <w:sz w:val="24"/>
                <w:szCs w:val="24"/>
                <w:highlight w:val="none"/>
                <w:u w:val="none"/>
                <w:lang w:val="en-US" w:eastAsia="zh-CN" w:bidi="ar"/>
              </w:rPr>
            </w:pPr>
            <w:r>
              <w:rPr>
                <w:rFonts w:hint="eastAsia" w:ascii="宋体" w:hAnsi="宋体" w:eastAsia="宋体" w:cs="宋体"/>
                <w:b w:val="0"/>
                <w:bCs w:val="0"/>
                <w:i w:val="0"/>
                <w:iCs w:val="0"/>
                <w:color w:val="auto"/>
                <w:kern w:val="0"/>
                <w:sz w:val="24"/>
                <w:szCs w:val="24"/>
                <w:highlight w:val="none"/>
                <w:u w:val="none"/>
                <w:lang w:val="en-US" w:eastAsia="zh-CN" w:bidi="ar"/>
              </w:rPr>
              <w:t>2）《饮用水冷水水表安全规则》CJ266-2008</w:t>
            </w:r>
          </w:p>
          <w:p w14:paraId="102A7914">
            <w:pPr>
              <w:keepNext w:val="0"/>
              <w:keepLines w:val="0"/>
              <w:widowControl/>
              <w:suppressLineNumbers w:val="0"/>
              <w:jc w:val="left"/>
              <w:textAlignment w:val="center"/>
              <w:rPr>
                <w:rFonts w:hint="default" w:ascii="宋体" w:hAnsi="宋体" w:eastAsia="宋体" w:cs="宋体"/>
                <w:b w:val="0"/>
                <w:bCs w:val="0"/>
                <w:i w:val="0"/>
                <w:iCs w:val="0"/>
                <w:color w:val="auto"/>
                <w:kern w:val="0"/>
                <w:sz w:val="24"/>
                <w:szCs w:val="24"/>
                <w:highlight w:val="none"/>
                <w:u w:val="none"/>
                <w:lang w:val="en-US" w:eastAsia="zh-CN" w:bidi="ar"/>
              </w:rPr>
            </w:pPr>
            <w:r>
              <w:rPr>
                <w:rFonts w:hint="eastAsia" w:ascii="宋体" w:hAnsi="宋体" w:eastAsia="宋体" w:cs="宋体"/>
                <w:b w:val="0"/>
                <w:bCs w:val="0"/>
                <w:i w:val="0"/>
                <w:iCs w:val="0"/>
                <w:color w:val="auto"/>
                <w:kern w:val="0"/>
                <w:sz w:val="24"/>
                <w:szCs w:val="24"/>
                <w:highlight w:val="none"/>
                <w:u w:val="none"/>
                <w:lang w:val="en-US" w:eastAsia="zh-CN" w:bidi="ar"/>
              </w:rPr>
              <w:t>3）《饮用冷水水表检定规程》JJG162-2019</w:t>
            </w:r>
          </w:p>
          <w:p w14:paraId="401953AD">
            <w:pPr>
              <w:keepNext w:val="0"/>
              <w:keepLines w:val="0"/>
              <w:widowControl/>
              <w:suppressLineNumbers w:val="0"/>
              <w:jc w:val="left"/>
              <w:textAlignment w:val="center"/>
              <w:rPr>
                <w:rFonts w:hint="default" w:ascii="宋体" w:hAnsi="宋体" w:eastAsia="宋体" w:cs="宋体"/>
                <w:b w:val="0"/>
                <w:bCs w:val="0"/>
                <w:i w:val="0"/>
                <w:iCs w:val="0"/>
                <w:color w:val="auto"/>
                <w:kern w:val="0"/>
                <w:sz w:val="24"/>
                <w:szCs w:val="24"/>
                <w:highlight w:val="none"/>
                <w:u w:val="none"/>
                <w:lang w:val="en-US" w:eastAsia="zh-CN" w:bidi="ar"/>
              </w:rPr>
            </w:pPr>
            <w:r>
              <w:rPr>
                <w:rFonts w:hint="eastAsia" w:ascii="宋体" w:hAnsi="宋体" w:eastAsia="宋体" w:cs="宋体"/>
                <w:b w:val="0"/>
                <w:bCs w:val="0"/>
                <w:i w:val="0"/>
                <w:iCs w:val="0"/>
                <w:color w:val="auto"/>
                <w:kern w:val="0"/>
                <w:sz w:val="24"/>
                <w:szCs w:val="24"/>
                <w:highlight w:val="none"/>
                <w:u w:val="none"/>
                <w:lang w:val="en-US" w:eastAsia="zh-CN" w:bidi="ar"/>
              </w:rPr>
              <w:t>4）《</w:t>
            </w:r>
            <w:r>
              <w:rPr>
                <w:rFonts w:hint="default" w:ascii="Arial" w:hAnsi="Arial" w:cs="Arial"/>
                <w:b w:val="0"/>
                <w:bCs w:val="0"/>
                <w:i w:val="0"/>
                <w:iCs w:val="0"/>
                <w:caps w:val="0"/>
                <w:color w:val="auto"/>
                <w:spacing w:val="0"/>
                <w:sz w:val="21"/>
                <w:szCs w:val="21"/>
                <w:highlight w:val="none"/>
                <w:shd w:val="clear" w:fill="FFFFFF"/>
              </w:rPr>
              <w:t>民用建筑远传抄表系统</w:t>
            </w:r>
            <w:r>
              <w:rPr>
                <w:rFonts w:hint="eastAsia" w:ascii="宋体" w:hAnsi="宋体" w:eastAsia="宋体" w:cs="宋体"/>
                <w:b w:val="0"/>
                <w:bCs w:val="0"/>
                <w:i w:val="0"/>
                <w:iCs w:val="0"/>
                <w:color w:val="auto"/>
                <w:kern w:val="0"/>
                <w:sz w:val="24"/>
                <w:szCs w:val="24"/>
                <w:highlight w:val="none"/>
                <w:u w:val="none"/>
                <w:lang w:val="en-US" w:eastAsia="zh-CN" w:bidi="ar"/>
              </w:rPr>
              <w:t>》JG/T162-2017</w:t>
            </w:r>
          </w:p>
          <w:p w14:paraId="24DCBD64">
            <w:pPr>
              <w:keepNext w:val="0"/>
              <w:keepLines w:val="0"/>
              <w:widowControl/>
              <w:suppressLineNumbers w:val="0"/>
              <w:jc w:val="left"/>
              <w:textAlignment w:val="center"/>
              <w:rPr>
                <w:rFonts w:hint="eastAsia" w:ascii="宋体" w:hAnsi="宋体" w:eastAsia="宋体" w:cs="宋体"/>
                <w:b w:val="0"/>
                <w:bCs w:val="0"/>
                <w:i w:val="0"/>
                <w:iCs w:val="0"/>
                <w:color w:val="auto"/>
                <w:kern w:val="0"/>
                <w:sz w:val="24"/>
                <w:szCs w:val="24"/>
                <w:highlight w:val="none"/>
                <w:u w:val="none"/>
                <w:lang w:val="en-US" w:eastAsia="zh-CN" w:bidi="ar"/>
              </w:rPr>
            </w:pPr>
            <w:r>
              <w:rPr>
                <w:rFonts w:hint="eastAsia" w:ascii="宋体" w:hAnsi="宋体" w:eastAsia="宋体" w:cs="宋体"/>
                <w:b w:val="0"/>
                <w:bCs w:val="0"/>
                <w:i w:val="0"/>
                <w:iCs w:val="0"/>
                <w:color w:val="auto"/>
                <w:kern w:val="0"/>
                <w:sz w:val="24"/>
                <w:szCs w:val="24"/>
                <w:highlight w:val="none"/>
                <w:u w:val="none"/>
                <w:lang w:val="en-US" w:eastAsia="zh-CN" w:bidi="ar"/>
              </w:rPr>
              <w:t>5）《户用计量仪表数据传输技术条件》CJ/T188-2018</w:t>
            </w:r>
          </w:p>
          <w:p w14:paraId="34959CF6">
            <w:pPr>
              <w:keepNext w:val="0"/>
              <w:keepLines w:val="0"/>
              <w:widowControl/>
              <w:suppressLineNumbers w:val="0"/>
              <w:jc w:val="left"/>
              <w:textAlignment w:val="center"/>
              <w:rPr>
                <w:rFonts w:hint="eastAsia" w:ascii="宋体" w:hAnsi="宋体" w:eastAsia="宋体" w:cs="宋体"/>
                <w:b w:val="0"/>
                <w:bCs w:val="0"/>
                <w:i w:val="0"/>
                <w:iCs w:val="0"/>
                <w:color w:val="auto"/>
                <w:kern w:val="0"/>
                <w:sz w:val="24"/>
                <w:szCs w:val="24"/>
                <w:highlight w:val="none"/>
                <w:u w:val="none"/>
                <w:lang w:val="en-US" w:eastAsia="zh-CN" w:bidi="ar"/>
              </w:rPr>
            </w:pPr>
            <w:r>
              <w:rPr>
                <w:rFonts w:hint="eastAsia" w:ascii="宋体" w:hAnsi="宋体" w:eastAsia="宋体" w:cs="宋体"/>
                <w:b w:val="0"/>
                <w:bCs w:val="0"/>
                <w:i w:val="0"/>
                <w:iCs w:val="0"/>
                <w:color w:val="auto"/>
                <w:kern w:val="0"/>
                <w:sz w:val="24"/>
                <w:szCs w:val="24"/>
                <w:highlight w:val="none"/>
                <w:u w:val="none"/>
                <w:lang w:val="en-US" w:eastAsia="zh-CN" w:bidi="ar"/>
              </w:rPr>
              <w:t>6）《电子直读式水表》CJ/T383-2011</w:t>
            </w:r>
          </w:p>
          <w:p w14:paraId="2F8CA380">
            <w:pPr>
              <w:keepNext w:val="0"/>
              <w:keepLines w:val="0"/>
              <w:widowControl/>
              <w:suppressLineNumbers w:val="0"/>
              <w:jc w:val="left"/>
              <w:textAlignment w:val="center"/>
              <w:rPr>
                <w:rFonts w:hint="eastAsia" w:ascii="宋体" w:hAnsi="宋体" w:eastAsia="宋体" w:cs="宋体"/>
                <w:b w:val="0"/>
                <w:bCs w:val="0"/>
                <w:i w:val="0"/>
                <w:iCs w:val="0"/>
                <w:color w:val="000000"/>
                <w:kern w:val="0"/>
                <w:sz w:val="24"/>
                <w:szCs w:val="24"/>
                <w:highlight w:val="none"/>
                <w:u w:val="none"/>
                <w:lang w:val="en-US" w:eastAsia="zh-CN" w:bidi="ar"/>
              </w:rPr>
            </w:pPr>
            <w:r>
              <w:rPr>
                <w:rFonts w:hint="eastAsia" w:ascii="宋体" w:hAnsi="宋体" w:eastAsia="宋体" w:cs="宋体"/>
                <w:b w:val="0"/>
                <w:bCs w:val="0"/>
                <w:i w:val="0"/>
                <w:iCs w:val="0"/>
                <w:color w:val="000000"/>
                <w:kern w:val="0"/>
                <w:sz w:val="24"/>
                <w:szCs w:val="24"/>
                <w:highlight w:val="none"/>
                <w:u w:val="none"/>
                <w:lang w:val="en-US" w:eastAsia="zh-CN" w:bidi="ar"/>
              </w:rPr>
              <w:t>7）《电子远传水表》CJ/T224-2012</w:t>
            </w:r>
          </w:p>
          <w:p w14:paraId="6EA9E2DB">
            <w:pPr>
              <w:keepNext w:val="0"/>
              <w:keepLines w:val="0"/>
              <w:widowControl/>
              <w:suppressLineNumbers w:val="0"/>
              <w:jc w:val="left"/>
              <w:textAlignment w:val="center"/>
              <w:rPr>
                <w:rFonts w:hint="eastAsia" w:ascii="宋体" w:hAnsi="宋体" w:eastAsia="宋体" w:cs="宋体"/>
                <w:b w:val="0"/>
                <w:bCs w:val="0"/>
                <w:i w:val="0"/>
                <w:iCs w:val="0"/>
                <w:color w:val="000000"/>
                <w:kern w:val="0"/>
                <w:sz w:val="24"/>
                <w:szCs w:val="24"/>
                <w:highlight w:val="none"/>
                <w:u w:val="none"/>
                <w:lang w:val="en-US" w:eastAsia="zh-CN" w:bidi="ar"/>
              </w:rPr>
            </w:pPr>
            <w:r>
              <w:rPr>
                <w:rFonts w:hint="eastAsia" w:ascii="宋体" w:hAnsi="宋体" w:eastAsia="宋体" w:cs="宋体"/>
                <w:b w:val="0"/>
                <w:bCs w:val="0"/>
                <w:i w:val="0"/>
                <w:iCs w:val="0"/>
                <w:color w:val="000000"/>
                <w:kern w:val="0"/>
                <w:sz w:val="24"/>
                <w:szCs w:val="24"/>
                <w:highlight w:val="none"/>
                <w:u w:val="none"/>
                <w:lang w:val="en-US" w:eastAsia="zh-CN" w:bidi="ar"/>
              </w:rPr>
              <w:t>以上标准中要求不相同时，采用高要求。</w:t>
            </w:r>
          </w:p>
          <w:p w14:paraId="3AFF10A7">
            <w:pPr>
              <w:keepNext w:val="0"/>
              <w:keepLines w:val="0"/>
              <w:widowControl/>
              <w:suppressLineNumbers w:val="0"/>
              <w:jc w:val="left"/>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9、电子设备要求：</w:t>
            </w:r>
          </w:p>
          <w:p w14:paraId="7AD55177">
            <w:pPr>
              <w:keepNext w:val="0"/>
              <w:keepLines w:val="0"/>
              <w:widowControl/>
              <w:suppressLineNumbers w:val="0"/>
              <w:jc w:val="left"/>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9.1一次抄读成功率：现场条件下，系统的一次抄读成功率应大于99.9%（自然灾害及人为破坏因素除外），中标方在签订合同时提供水司使用证明材料，否则采购方有权拒签合同。</w:t>
            </w:r>
          </w:p>
          <w:p w14:paraId="24D6B950">
            <w:pPr>
              <w:keepNext w:val="0"/>
              <w:keepLines w:val="0"/>
              <w:widowControl/>
              <w:suppressLineNumbers w:val="0"/>
              <w:jc w:val="left"/>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9.2数据抄读总差错率：系统的数据抄读总差错率应小于0.1%（自然灾害及人为破坏因素除外），中标方在签订合同时提供水司使用证明材料，否则采购方有权拒签合同。</w:t>
            </w:r>
          </w:p>
          <w:p w14:paraId="7F5AEEA9">
            <w:pPr>
              <w:keepNext w:val="0"/>
              <w:keepLines w:val="0"/>
              <w:widowControl/>
              <w:suppressLineNumbers w:val="0"/>
              <w:jc w:val="left"/>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9.3温度范围：适应工作环境温度范围，0.1℃～55℃。</w:t>
            </w:r>
          </w:p>
          <w:p w14:paraId="2D68A165">
            <w:pPr>
              <w:keepNext w:val="0"/>
              <w:keepLines w:val="0"/>
              <w:widowControl/>
              <w:suppressLineNumbers w:val="0"/>
              <w:jc w:val="left"/>
              <w:textAlignment w:val="center"/>
              <w:rPr>
                <w:rFonts w:hint="eastAsia" w:ascii="宋体" w:hAnsi="宋体" w:eastAsia="宋体" w:cs="宋体"/>
                <w:b w:val="0"/>
                <w:bCs w:val="0"/>
                <w:i w:val="0"/>
                <w:iCs w:val="0"/>
                <w:color w:val="000000"/>
                <w:kern w:val="0"/>
                <w:sz w:val="24"/>
                <w:szCs w:val="24"/>
                <w:highlight w:val="none"/>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9.4湿度范围：</w:t>
            </w:r>
            <w:r>
              <w:rPr>
                <w:rFonts w:hint="eastAsia" w:ascii="宋体" w:hAnsi="宋体" w:eastAsia="宋体" w:cs="宋体"/>
                <w:b w:val="0"/>
                <w:bCs w:val="0"/>
                <w:i w:val="0"/>
                <w:iCs w:val="0"/>
                <w:color w:val="000000"/>
                <w:kern w:val="0"/>
                <w:sz w:val="24"/>
                <w:szCs w:val="24"/>
                <w:highlight w:val="none"/>
                <w:u w:val="none"/>
                <w:lang w:val="en-US" w:eastAsia="zh-CN" w:bidi="ar"/>
              </w:rPr>
              <w:t>水表适应工作环境湿度范围，40℃时为0%～100%，远传读数装置在40℃至少为93%。</w:t>
            </w:r>
          </w:p>
          <w:p w14:paraId="7240EFBB">
            <w:pPr>
              <w:keepNext w:val="0"/>
              <w:keepLines w:val="0"/>
              <w:widowControl/>
              <w:suppressLineNumbers w:val="0"/>
              <w:jc w:val="left"/>
              <w:textAlignment w:val="center"/>
              <w:rPr>
                <w:rFonts w:hint="eastAsia" w:ascii="宋体" w:hAnsi="宋体" w:eastAsia="宋体" w:cs="宋体"/>
                <w:b w:val="0"/>
                <w:bCs w:val="0"/>
                <w:i w:val="0"/>
                <w:iCs w:val="0"/>
                <w:color w:val="000000"/>
                <w:kern w:val="0"/>
                <w:sz w:val="24"/>
                <w:szCs w:val="24"/>
                <w:highlight w:val="none"/>
                <w:u w:val="none"/>
                <w:lang w:val="en-US" w:eastAsia="zh-CN" w:bidi="ar"/>
              </w:rPr>
            </w:pPr>
            <w:r>
              <w:rPr>
                <w:rFonts w:hint="eastAsia" w:ascii="宋体" w:hAnsi="宋体" w:eastAsia="宋体" w:cs="宋体"/>
                <w:b w:val="0"/>
                <w:bCs w:val="0"/>
                <w:i w:val="0"/>
                <w:iCs w:val="0"/>
                <w:color w:val="000000"/>
                <w:kern w:val="0"/>
                <w:sz w:val="24"/>
                <w:szCs w:val="24"/>
                <w:highlight w:val="none"/>
                <w:u w:val="none"/>
                <w:lang w:val="en-US" w:eastAsia="zh-CN" w:bidi="ar"/>
              </w:rPr>
              <w:t>9.5 安装环境等级：户外C级、建筑物类B级。</w:t>
            </w:r>
          </w:p>
          <w:p w14:paraId="60409953">
            <w:pPr>
              <w:keepNext w:val="0"/>
              <w:keepLines w:val="0"/>
              <w:widowControl/>
              <w:suppressLineNumbers w:val="0"/>
              <w:jc w:val="left"/>
              <w:textAlignment w:val="center"/>
              <w:rPr>
                <w:rFonts w:hint="eastAsia" w:ascii="宋体" w:hAnsi="宋体" w:eastAsia="宋体" w:cs="宋体"/>
                <w:b w:val="0"/>
                <w:bCs w:val="0"/>
                <w:i w:val="0"/>
                <w:iCs w:val="0"/>
                <w:color w:val="000000"/>
                <w:kern w:val="0"/>
                <w:sz w:val="24"/>
                <w:szCs w:val="24"/>
                <w:highlight w:val="none"/>
                <w:u w:val="none"/>
                <w:lang w:val="en-US" w:eastAsia="zh-CN" w:bidi="ar"/>
              </w:rPr>
            </w:pPr>
            <w:r>
              <w:rPr>
                <w:rFonts w:hint="eastAsia" w:ascii="宋体" w:hAnsi="宋体" w:eastAsia="宋体" w:cs="宋体"/>
                <w:b w:val="0"/>
                <w:bCs w:val="0"/>
                <w:i w:val="0"/>
                <w:iCs w:val="0"/>
                <w:color w:val="000000"/>
                <w:kern w:val="0"/>
                <w:sz w:val="24"/>
                <w:szCs w:val="24"/>
                <w:highlight w:val="none"/>
                <w:u w:val="none"/>
                <w:lang w:val="en-US" w:eastAsia="zh-CN" w:bidi="ar"/>
              </w:rPr>
              <w:t>9.6电磁环境等级：E1级。</w:t>
            </w:r>
          </w:p>
          <w:p w14:paraId="63E89543">
            <w:pPr>
              <w:keepNext w:val="0"/>
              <w:keepLines w:val="0"/>
              <w:widowControl/>
              <w:suppressLineNumbers w:val="0"/>
              <w:jc w:val="left"/>
              <w:textAlignment w:val="center"/>
              <w:rPr>
                <w:rFonts w:hint="eastAsia" w:ascii="宋体" w:hAnsi="宋体" w:eastAsia="宋体" w:cs="宋体"/>
                <w:b w:val="0"/>
                <w:bCs w:val="0"/>
                <w:i w:val="0"/>
                <w:iCs w:val="0"/>
                <w:color w:val="000000"/>
                <w:kern w:val="0"/>
                <w:sz w:val="24"/>
                <w:szCs w:val="24"/>
                <w:highlight w:val="none"/>
                <w:u w:val="none"/>
                <w:lang w:val="en-US" w:eastAsia="zh-CN" w:bidi="ar"/>
              </w:rPr>
            </w:pPr>
            <w:r>
              <w:rPr>
                <w:rFonts w:hint="eastAsia" w:ascii="宋体" w:hAnsi="宋体" w:eastAsia="宋体" w:cs="宋体"/>
                <w:b w:val="0"/>
                <w:bCs w:val="0"/>
                <w:i w:val="0"/>
                <w:iCs w:val="0"/>
                <w:color w:val="000000"/>
                <w:kern w:val="0"/>
                <w:sz w:val="24"/>
                <w:szCs w:val="24"/>
                <w:highlight w:val="none"/>
                <w:u w:val="none"/>
                <w:lang w:val="en-US" w:eastAsia="zh-CN" w:bidi="ar"/>
              </w:rPr>
              <w:t>9.7防水等级：IP68，不进灰尘，满足长期浸水的要求。</w:t>
            </w:r>
          </w:p>
          <w:p w14:paraId="773EC5DA">
            <w:pPr>
              <w:keepNext w:val="0"/>
              <w:keepLines w:val="0"/>
              <w:widowControl/>
              <w:suppressLineNumbers w:val="0"/>
              <w:jc w:val="left"/>
              <w:textAlignment w:val="center"/>
              <w:rPr>
                <w:rFonts w:hint="eastAsia" w:ascii="宋体" w:hAnsi="宋体" w:eastAsia="宋体" w:cs="宋体"/>
                <w:b w:val="0"/>
                <w:bCs w:val="0"/>
                <w:i w:val="0"/>
                <w:iCs w:val="0"/>
                <w:color w:val="000000"/>
                <w:kern w:val="0"/>
                <w:sz w:val="24"/>
                <w:szCs w:val="24"/>
                <w:highlight w:val="none"/>
                <w:u w:val="none"/>
                <w:lang w:val="en-US" w:eastAsia="zh-CN" w:bidi="ar"/>
              </w:rPr>
            </w:pPr>
            <w:r>
              <w:rPr>
                <w:rFonts w:hint="eastAsia" w:ascii="宋体" w:hAnsi="宋体" w:eastAsia="宋体" w:cs="宋体"/>
                <w:b w:val="0"/>
                <w:bCs w:val="0"/>
                <w:i w:val="0"/>
                <w:iCs w:val="0"/>
                <w:color w:val="000000"/>
                <w:kern w:val="0"/>
                <w:sz w:val="24"/>
                <w:szCs w:val="24"/>
                <w:highlight w:val="none"/>
                <w:u w:val="none"/>
                <w:lang w:val="en-US" w:eastAsia="zh-CN" w:bidi="ar"/>
              </w:rPr>
              <w:t>9.8内置电池：锂电池供电，电池可独立更换且满足双向可更换结构在上报频次为 1 次/日时，保证使用 8 年。</w:t>
            </w:r>
          </w:p>
          <w:p w14:paraId="3517E3C2">
            <w:pPr>
              <w:keepNext w:val="0"/>
              <w:keepLines w:val="0"/>
              <w:widowControl/>
              <w:suppressLineNumbers w:val="0"/>
              <w:jc w:val="left"/>
              <w:textAlignment w:val="center"/>
              <w:rPr>
                <w:rFonts w:hint="eastAsia" w:ascii="宋体" w:hAnsi="宋体" w:eastAsia="宋体" w:cs="宋体"/>
                <w:b w:val="0"/>
                <w:bCs w:val="0"/>
                <w:i w:val="0"/>
                <w:iCs w:val="0"/>
                <w:color w:val="000000"/>
                <w:kern w:val="0"/>
                <w:sz w:val="24"/>
                <w:szCs w:val="24"/>
                <w:highlight w:val="none"/>
                <w:u w:val="none"/>
                <w:lang w:val="en-US" w:eastAsia="zh-CN" w:bidi="ar"/>
              </w:rPr>
            </w:pPr>
            <w:r>
              <w:rPr>
                <w:rFonts w:hint="eastAsia" w:ascii="宋体" w:hAnsi="宋体" w:eastAsia="宋体" w:cs="宋体"/>
                <w:b w:val="0"/>
                <w:bCs w:val="0"/>
                <w:i w:val="0"/>
                <w:iCs w:val="0"/>
                <w:color w:val="000000"/>
                <w:kern w:val="0"/>
                <w:sz w:val="24"/>
                <w:szCs w:val="24"/>
                <w:highlight w:val="none"/>
                <w:u w:val="none"/>
                <w:lang w:val="en-US" w:eastAsia="zh-CN" w:bidi="ar"/>
              </w:rPr>
              <w:t>9.9数据存储：可存储数据≥30天，当存满存储介质时，新采集的数据自动覆盖最早数据</w:t>
            </w:r>
          </w:p>
          <w:p w14:paraId="07514659">
            <w:pPr>
              <w:keepNext w:val="0"/>
              <w:keepLines w:val="0"/>
              <w:widowControl/>
              <w:suppressLineNumbers w:val="0"/>
              <w:jc w:val="left"/>
              <w:textAlignment w:val="center"/>
              <w:rPr>
                <w:rFonts w:hint="eastAsia" w:ascii="宋体" w:hAnsi="宋体" w:eastAsia="宋体" w:cs="宋体"/>
                <w:b w:val="0"/>
                <w:bCs w:val="0"/>
                <w:i w:val="0"/>
                <w:iCs w:val="0"/>
                <w:color w:val="000000"/>
                <w:kern w:val="0"/>
                <w:sz w:val="24"/>
                <w:szCs w:val="24"/>
                <w:highlight w:val="none"/>
                <w:u w:val="none"/>
                <w:lang w:val="en-US" w:eastAsia="zh-CN" w:bidi="ar"/>
              </w:rPr>
            </w:pPr>
            <w:r>
              <w:rPr>
                <w:rFonts w:hint="eastAsia" w:ascii="宋体" w:hAnsi="宋体" w:eastAsia="宋体" w:cs="宋体"/>
                <w:b w:val="0"/>
                <w:bCs w:val="0"/>
                <w:i w:val="0"/>
                <w:iCs w:val="0"/>
                <w:color w:val="000000"/>
                <w:kern w:val="0"/>
                <w:sz w:val="24"/>
                <w:szCs w:val="24"/>
                <w:highlight w:val="none"/>
                <w:u w:val="none"/>
                <w:lang w:val="en-US" w:eastAsia="zh-CN" w:bidi="ar"/>
              </w:rPr>
              <w:t>9.10远传水表能人工抄读，水表电子设备不破坏基表结构，不影响人工抄读到m³位。</w:t>
            </w:r>
          </w:p>
          <w:p w14:paraId="62380E7B">
            <w:pPr>
              <w:keepNext w:val="0"/>
              <w:keepLines w:val="0"/>
              <w:widowControl/>
              <w:suppressLineNumbers w:val="0"/>
              <w:jc w:val="left"/>
              <w:textAlignment w:val="center"/>
              <w:rPr>
                <w:rFonts w:hint="eastAsia" w:ascii="宋体" w:hAnsi="宋体" w:eastAsia="宋体" w:cs="宋体"/>
                <w:b w:val="0"/>
                <w:bCs w:val="0"/>
                <w:i w:val="0"/>
                <w:iCs w:val="0"/>
                <w:color w:val="000000"/>
                <w:kern w:val="0"/>
                <w:sz w:val="24"/>
                <w:szCs w:val="24"/>
                <w:highlight w:val="none"/>
                <w:u w:val="none"/>
                <w:lang w:val="en-US" w:eastAsia="zh-CN" w:bidi="ar"/>
              </w:rPr>
            </w:pPr>
            <w:r>
              <w:rPr>
                <w:rFonts w:hint="eastAsia" w:ascii="宋体" w:hAnsi="宋体" w:eastAsia="宋体" w:cs="宋体"/>
                <w:b w:val="0"/>
                <w:bCs w:val="0"/>
                <w:i w:val="0"/>
                <w:iCs w:val="0"/>
                <w:color w:val="000000"/>
                <w:kern w:val="0"/>
                <w:sz w:val="24"/>
                <w:szCs w:val="24"/>
                <w:highlight w:val="none"/>
                <w:u w:val="none"/>
                <w:lang w:val="en-US" w:eastAsia="zh-CN" w:bidi="ar"/>
              </w:rPr>
              <w:t>9.11通讯方式：采用运营商的NB-IoT网络实现数据传输，并提供属地化日常通信运维服务；必须可无缝接入采购方智能水表管理平台,按采购方制定的通讯协议标准生产，不得擅自修改。</w:t>
            </w:r>
          </w:p>
          <w:p w14:paraId="574F2A8F">
            <w:pPr>
              <w:keepNext w:val="0"/>
              <w:keepLines w:val="0"/>
              <w:widowControl/>
              <w:suppressLineNumbers w:val="0"/>
              <w:jc w:val="left"/>
              <w:textAlignment w:val="center"/>
              <w:rPr>
                <w:rFonts w:hint="eastAsia" w:ascii="宋体" w:hAnsi="宋体" w:eastAsia="宋体" w:cs="宋体"/>
                <w:b w:val="0"/>
                <w:bCs w:val="0"/>
                <w:i w:val="0"/>
                <w:iCs w:val="0"/>
                <w:color w:val="000000"/>
                <w:kern w:val="0"/>
                <w:sz w:val="24"/>
                <w:szCs w:val="24"/>
                <w:highlight w:val="none"/>
                <w:u w:val="none"/>
                <w:lang w:val="en-US" w:eastAsia="zh-CN" w:bidi="ar"/>
              </w:rPr>
            </w:pPr>
            <w:r>
              <w:rPr>
                <w:rFonts w:hint="eastAsia" w:ascii="宋体" w:hAnsi="宋体" w:eastAsia="宋体" w:cs="宋体"/>
                <w:b w:val="0"/>
                <w:bCs w:val="0"/>
                <w:i w:val="0"/>
                <w:iCs w:val="0"/>
                <w:color w:val="000000"/>
                <w:kern w:val="0"/>
                <w:sz w:val="24"/>
                <w:szCs w:val="24"/>
                <w:highlight w:val="none"/>
                <w:u w:val="none"/>
                <w:lang w:val="en-US" w:eastAsia="zh-CN" w:bidi="ar"/>
              </w:rPr>
              <w:t>9.12通讯协议：见附件（NB-IoT小表协议V1.0）</w:t>
            </w:r>
          </w:p>
          <w:p w14:paraId="403C8C7D">
            <w:pPr>
              <w:keepNext w:val="0"/>
              <w:keepLines w:val="0"/>
              <w:widowControl/>
              <w:suppressLineNumbers w:val="0"/>
              <w:jc w:val="left"/>
              <w:textAlignment w:val="center"/>
              <w:rPr>
                <w:rFonts w:hint="eastAsia" w:ascii="宋体" w:hAnsi="宋体" w:eastAsia="宋体" w:cs="宋体"/>
                <w:b w:val="0"/>
                <w:bCs w:val="0"/>
                <w:i w:val="0"/>
                <w:iCs w:val="0"/>
                <w:color w:val="000000"/>
                <w:kern w:val="0"/>
                <w:sz w:val="24"/>
                <w:szCs w:val="24"/>
                <w:highlight w:val="none"/>
                <w:u w:val="none"/>
                <w:lang w:val="en-US" w:eastAsia="zh-CN" w:bidi="ar"/>
              </w:rPr>
            </w:pPr>
            <w:r>
              <w:rPr>
                <w:rFonts w:hint="eastAsia" w:ascii="宋体" w:hAnsi="宋体" w:eastAsia="宋体" w:cs="宋体"/>
                <w:b w:val="0"/>
                <w:bCs w:val="0"/>
                <w:i w:val="0"/>
                <w:iCs w:val="0"/>
                <w:color w:val="000000"/>
                <w:kern w:val="0"/>
                <w:sz w:val="24"/>
                <w:szCs w:val="24"/>
                <w:highlight w:val="none"/>
                <w:u w:val="none"/>
                <w:lang w:val="en-US" w:eastAsia="zh-CN" w:bidi="ar"/>
              </w:rPr>
              <w:t>9.13模块标识的印刷：在电子模块上按采购人要求印制相关标识和条形码。</w:t>
            </w:r>
          </w:p>
          <w:p w14:paraId="603EFC85">
            <w:pPr>
              <w:keepNext w:val="0"/>
              <w:keepLines w:val="0"/>
              <w:widowControl/>
              <w:suppressLineNumbers w:val="0"/>
              <w:jc w:val="left"/>
              <w:textAlignment w:val="center"/>
              <w:rPr>
                <w:rFonts w:hint="eastAsia" w:ascii="宋体" w:hAnsi="宋体" w:eastAsia="宋体" w:cs="宋体"/>
                <w:b w:val="0"/>
                <w:bCs w:val="0"/>
                <w:i w:val="0"/>
                <w:iCs w:val="0"/>
                <w:color w:val="000000"/>
                <w:kern w:val="0"/>
                <w:sz w:val="24"/>
                <w:szCs w:val="24"/>
                <w:highlight w:val="none"/>
                <w:u w:val="none"/>
                <w:lang w:val="en-US" w:eastAsia="zh-CN" w:bidi="ar"/>
              </w:rPr>
            </w:pPr>
            <w:r>
              <w:rPr>
                <w:rFonts w:hint="eastAsia" w:ascii="宋体" w:hAnsi="宋体" w:eastAsia="宋体" w:cs="宋体"/>
                <w:b w:val="0"/>
                <w:bCs w:val="0"/>
                <w:i w:val="0"/>
                <w:iCs w:val="0"/>
                <w:color w:val="000000"/>
                <w:kern w:val="0"/>
                <w:sz w:val="24"/>
                <w:szCs w:val="24"/>
                <w:highlight w:val="none"/>
                <w:u w:val="none"/>
                <w:lang w:val="en-US" w:eastAsia="zh-CN" w:bidi="ar"/>
              </w:rPr>
              <w:t>9.14通过NB-IoT平台将软件版本号、IMSI号、累计流量、日结流量、故障报警、电压状态、无线信号强度等数据上报到水务平台。</w:t>
            </w:r>
          </w:p>
          <w:p w14:paraId="5AF8EDE7">
            <w:pPr>
              <w:keepNext w:val="0"/>
              <w:keepLines w:val="0"/>
              <w:widowControl/>
              <w:suppressLineNumbers w:val="0"/>
              <w:jc w:val="left"/>
              <w:textAlignment w:val="center"/>
              <w:rPr>
                <w:rFonts w:hint="eastAsia" w:ascii="宋体" w:hAnsi="宋体" w:eastAsia="宋体" w:cs="宋体"/>
                <w:b w:val="0"/>
                <w:bCs w:val="0"/>
                <w:i w:val="0"/>
                <w:iCs w:val="0"/>
                <w:color w:val="000000"/>
                <w:kern w:val="0"/>
                <w:sz w:val="24"/>
                <w:szCs w:val="24"/>
                <w:highlight w:val="none"/>
                <w:u w:val="none"/>
                <w:lang w:val="en-US" w:eastAsia="zh-CN" w:bidi="ar"/>
              </w:rPr>
            </w:pPr>
            <w:r>
              <w:rPr>
                <w:rFonts w:hint="eastAsia" w:ascii="宋体" w:hAnsi="宋体" w:eastAsia="宋体" w:cs="宋体"/>
                <w:b w:val="0"/>
                <w:bCs w:val="0"/>
                <w:i w:val="0"/>
                <w:iCs w:val="0"/>
                <w:color w:val="000000"/>
                <w:kern w:val="0"/>
                <w:sz w:val="24"/>
                <w:szCs w:val="24"/>
                <w:highlight w:val="none"/>
                <w:u w:val="none"/>
                <w:lang w:val="en-US" w:eastAsia="zh-CN" w:bidi="ar"/>
              </w:rPr>
              <w:t>10、电子设备功能要求</w:t>
            </w:r>
          </w:p>
          <w:p w14:paraId="5C0506A1">
            <w:pPr>
              <w:keepNext w:val="0"/>
              <w:keepLines w:val="0"/>
              <w:widowControl/>
              <w:suppressLineNumbers w:val="0"/>
              <w:jc w:val="left"/>
              <w:textAlignment w:val="center"/>
              <w:rPr>
                <w:rFonts w:hint="eastAsia" w:ascii="宋体" w:hAnsi="宋体" w:eastAsia="宋体" w:cs="宋体"/>
                <w:b w:val="0"/>
                <w:bCs w:val="0"/>
                <w:i w:val="0"/>
                <w:iCs w:val="0"/>
                <w:color w:val="000000"/>
                <w:kern w:val="0"/>
                <w:sz w:val="24"/>
                <w:szCs w:val="24"/>
                <w:highlight w:val="none"/>
                <w:u w:val="none"/>
                <w:lang w:val="en-US" w:eastAsia="zh-CN" w:bidi="ar"/>
              </w:rPr>
            </w:pPr>
            <w:r>
              <w:rPr>
                <w:rFonts w:hint="eastAsia" w:ascii="宋体" w:hAnsi="宋体" w:eastAsia="宋体" w:cs="宋体"/>
                <w:b w:val="0"/>
                <w:bCs w:val="0"/>
                <w:i w:val="0"/>
                <w:iCs w:val="0"/>
                <w:color w:val="000000"/>
                <w:kern w:val="0"/>
                <w:sz w:val="24"/>
                <w:szCs w:val="24"/>
                <w:highlight w:val="none"/>
                <w:u w:val="none"/>
                <w:lang w:val="en-US" w:eastAsia="zh-CN" w:bidi="ar"/>
              </w:rPr>
              <w:t>10.1 周期上报：</w:t>
            </w:r>
          </w:p>
          <w:p w14:paraId="32CC7064">
            <w:pPr>
              <w:keepNext w:val="0"/>
              <w:keepLines w:val="0"/>
              <w:widowControl/>
              <w:suppressLineNumbers w:val="0"/>
              <w:jc w:val="left"/>
              <w:textAlignment w:val="center"/>
              <w:rPr>
                <w:rFonts w:hint="eastAsia" w:ascii="宋体" w:hAnsi="宋体" w:eastAsia="宋体" w:cs="宋体"/>
                <w:b w:val="0"/>
                <w:bCs w:val="0"/>
                <w:i w:val="0"/>
                <w:iCs w:val="0"/>
                <w:color w:val="000000"/>
                <w:kern w:val="0"/>
                <w:sz w:val="24"/>
                <w:szCs w:val="24"/>
                <w:highlight w:val="none"/>
                <w:u w:val="none"/>
                <w:lang w:val="en-US" w:eastAsia="zh-CN" w:bidi="ar"/>
              </w:rPr>
            </w:pPr>
            <w:r>
              <w:rPr>
                <w:rFonts w:hint="eastAsia" w:ascii="宋体" w:hAnsi="宋体" w:eastAsia="宋体" w:cs="宋体"/>
                <w:b w:val="0"/>
                <w:bCs w:val="0"/>
                <w:i w:val="0"/>
                <w:iCs w:val="0"/>
                <w:color w:val="000000"/>
                <w:kern w:val="0"/>
                <w:sz w:val="24"/>
                <w:szCs w:val="24"/>
                <w:highlight w:val="none"/>
                <w:u w:val="none"/>
                <w:lang w:val="en-US" w:eastAsia="zh-CN" w:bidi="ar"/>
              </w:rPr>
              <w:t>1）每日周期上报：上报前一天24小时数据，数据包含每1小时记录一次的数据，共24个记录信息等。数据包含日冻结信息等。</w:t>
            </w:r>
          </w:p>
          <w:p w14:paraId="53FE7615">
            <w:pPr>
              <w:keepNext w:val="0"/>
              <w:keepLines w:val="0"/>
              <w:widowControl/>
              <w:suppressLineNumbers w:val="0"/>
              <w:jc w:val="left"/>
              <w:textAlignment w:val="center"/>
              <w:rPr>
                <w:rFonts w:hint="eastAsia" w:ascii="宋体" w:hAnsi="宋体" w:eastAsia="宋体" w:cs="宋体"/>
                <w:b w:val="0"/>
                <w:bCs w:val="0"/>
                <w:i w:val="0"/>
                <w:iCs w:val="0"/>
                <w:color w:val="000000"/>
                <w:kern w:val="0"/>
                <w:sz w:val="24"/>
                <w:szCs w:val="24"/>
                <w:highlight w:val="none"/>
                <w:u w:val="none"/>
                <w:lang w:val="en-US" w:eastAsia="zh-CN" w:bidi="ar"/>
              </w:rPr>
            </w:pPr>
            <w:r>
              <w:rPr>
                <w:rFonts w:hint="eastAsia" w:ascii="宋体" w:hAnsi="宋体" w:eastAsia="宋体" w:cs="宋体"/>
                <w:b w:val="0"/>
                <w:bCs w:val="0"/>
                <w:i w:val="0"/>
                <w:iCs w:val="0"/>
                <w:color w:val="000000"/>
                <w:kern w:val="0"/>
                <w:sz w:val="24"/>
                <w:szCs w:val="24"/>
                <w:highlight w:val="none"/>
                <w:u w:val="none"/>
                <w:lang w:val="en-US" w:eastAsia="zh-CN" w:bidi="ar"/>
              </w:rPr>
              <w:t>2）高频周期上报：可通过平台设置或更改发送频率，最小做到每小时周期上报，数据包含上报周期内的每30分钟记录一次的数据信息等。</w:t>
            </w:r>
          </w:p>
          <w:p w14:paraId="42EFA947">
            <w:pPr>
              <w:keepNext w:val="0"/>
              <w:keepLines w:val="0"/>
              <w:widowControl/>
              <w:suppressLineNumbers w:val="0"/>
              <w:jc w:val="left"/>
              <w:textAlignment w:val="center"/>
              <w:rPr>
                <w:rFonts w:hint="eastAsia" w:ascii="宋体" w:hAnsi="宋体" w:eastAsia="宋体" w:cs="宋体"/>
                <w:b w:val="0"/>
                <w:bCs w:val="0"/>
                <w:i w:val="0"/>
                <w:iCs w:val="0"/>
                <w:color w:val="000000"/>
                <w:kern w:val="0"/>
                <w:sz w:val="24"/>
                <w:szCs w:val="24"/>
                <w:highlight w:val="none"/>
                <w:u w:val="none"/>
                <w:lang w:val="en-US" w:eastAsia="zh-CN" w:bidi="ar"/>
              </w:rPr>
            </w:pPr>
            <w:r>
              <w:rPr>
                <w:rFonts w:hint="eastAsia" w:ascii="宋体" w:hAnsi="宋体" w:eastAsia="宋体" w:cs="宋体"/>
                <w:b w:val="0"/>
                <w:bCs w:val="0"/>
                <w:i w:val="0"/>
                <w:iCs w:val="0"/>
                <w:color w:val="000000"/>
                <w:kern w:val="0"/>
                <w:sz w:val="24"/>
                <w:szCs w:val="24"/>
                <w:highlight w:val="none"/>
                <w:u w:val="none"/>
                <w:lang w:val="en-US" w:eastAsia="zh-CN" w:bidi="ar"/>
              </w:rPr>
              <w:t>10.2 密集数据采集：从设置的起始时间算起4个小时，每10分钟一个点，共48个点累计流量。</w:t>
            </w:r>
          </w:p>
          <w:p w14:paraId="636EE92A">
            <w:pPr>
              <w:keepNext w:val="0"/>
              <w:keepLines w:val="0"/>
              <w:widowControl/>
              <w:suppressLineNumbers w:val="0"/>
              <w:jc w:val="left"/>
              <w:textAlignment w:val="center"/>
              <w:rPr>
                <w:rFonts w:hint="eastAsia" w:ascii="宋体" w:hAnsi="宋体" w:eastAsia="宋体" w:cs="宋体"/>
                <w:b w:val="0"/>
                <w:bCs w:val="0"/>
                <w:i w:val="0"/>
                <w:iCs w:val="0"/>
                <w:color w:val="000000"/>
                <w:kern w:val="0"/>
                <w:sz w:val="24"/>
                <w:szCs w:val="24"/>
                <w:highlight w:val="none"/>
                <w:u w:val="none"/>
                <w:lang w:val="en-US" w:eastAsia="zh-CN" w:bidi="ar"/>
              </w:rPr>
            </w:pPr>
            <w:r>
              <w:rPr>
                <w:rFonts w:hint="eastAsia" w:ascii="宋体" w:hAnsi="宋体" w:eastAsia="宋体" w:cs="宋体"/>
                <w:b w:val="0"/>
                <w:bCs w:val="0"/>
                <w:i w:val="0"/>
                <w:iCs w:val="0"/>
                <w:color w:val="000000"/>
                <w:kern w:val="0"/>
                <w:sz w:val="24"/>
                <w:szCs w:val="24"/>
                <w:highlight w:val="none"/>
                <w:u w:val="none"/>
                <w:lang w:val="en-US" w:eastAsia="zh-CN" w:bidi="ar"/>
              </w:rPr>
              <w:t>10.3 补包功能 ：当本次数据上报不成功时 ，下个上报周期数据自动补包 ，在数据有效保存期内的数据都可以补包；</w:t>
            </w:r>
          </w:p>
          <w:p w14:paraId="381EFE1C">
            <w:pPr>
              <w:keepNext w:val="0"/>
              <w:keepLines w:val="0"/>
              <w:widowControl/>
              <w:suppressLineNumbers w:val="0"/>
              <w:jc w:val="left"/>
              <w:textAlignment w:val="center"/>
              <w:rPr>
                <w:rFonts w:hint="eastAsia" w:ascii="宋体" w:hAnsi="宋体" w:eastAsia="宋体" w:cs="宋体"/>
                <w:b w:val="0"/>
                <w:bCs w:val="0"/>
                <w:i w:val="0"/>
                <w:iCs w:val="0"/>
                <w:color w:val="000000"/>
                <w:kern w:val="0"/>
                <w:sz w:val="24"/>
                <w:szCs w:val="24"/>
                <w:highlight w:val="none"/>
                <w:u w:val="none"/>
                <w:lang w:val="en-US" w:eastAsia="zh-CN" w:bidi="ar"/>
              </w:rPr>
            </w:pPr>
            <w:r>
              <w:rPr>
                <w:rFonts w:hint="eastAsia" w:ascii="宋体" w:hAnsi="宋体" w:eastAsia="宋体" w:cs="宋体"/>
                <w:b w:val="0"/>
                <w:bCs w:val="0"/>
                <w:i w:val="0"/>
                <w:iCs w:val="0"/>
                <w:color w:val="000000"/>
                <w:kern w:val="0"/>
                <w:sz w:val="24"/>
                <w:szCs w:val="24"/>
                <w:highlight w:val="none"/>
                <w:u w:val="none"/>
                <w:lang w:val="en-US" w:eastAsia="zh-CN" w:bidi="ar"/>
              </w:rPr>
              <w:t>10.4 数据上报消息：数据上报消息要求在一个完整的消息报文中上送。</w:t>
            </w:r>
          </w:p>
          <w:p w14:paraId="70286DF0">
            <w:pPr>
              <w:keepNext w:val="0"/>
              <w:keepLines w:val="0"/>
              <w:widowControl/>
              <w:suppressLineNumbers w:val="0"/>
              <w:jc w:val="left"/>
              <w:textAlignment w:val="center"/>
              <w:rPr>
                <w:rFonts w:hint="eastAsia" w:ascii="宋体" w:hAnsi="宋体" w:eastAsia="宋体" w:cs="宋体"/>
                <w:b w:val="0"/>
                <w:bCs w:val="0"/>
                <w:i w:val="0"/>
                <w:iCs w:val="0"/>
                <w:color w:val="000000"/>
                <w:kern w:val="0"/>
                <w:sz w:val="24"/>
                <w:szCs w:val="24"/>
                <w:highlight w:val="none"/>
                <w:u w:val="none"/>
                <w:lang w:val="en-US" w:eastAsia="zh-CN" w:bidi="ar"/>
              </w:rPr>
            </w:pPr>
            <w:r>
              <w:rPr>
                <w:rFonts w:hint="eastAsia" w:ascii="宋体" w:hAnsi="宋体" w:eastAsia="宋体" w:cs="宋体"/>
                <w:b w:val="0"/>
                <w:bCs w:val="0"/>
                <w:i w:val="0"/>
                <w:iCs w:val="0"/>
                <w:color w:val="000000"/>
                <w:kern w:val="0"/>
                <w:sz w:val="24"/>
                <w:szCs w:val="24"/>
                <w:highlight w:val="none"/>
                <w:u w:val="none"/>
                <w:lang w:val="en-US" w:eastAsia="zh-CN" w:bidi="ar"/>
              </w:rPr>
              <w:t>10.5报警功能 ：当电池欠压、磁干扰、电子模块分离、过流流量、反流流量进行告警。</w:t>
            </w:r>
          </w:p>
          <w:p w14:paraId="23770F92">
            <w:pPr>
              <w:keepNext w:val="0"/>
              <w:keepLines w:val="0"/>
              <w:widowControl/>
              <w:suppressLineNumbers w:val="0"/>
              <w:jc w:val="left"/>
              <w:textAlignment w:val="center"/>
              <w:rPr>
                <w:rFonts w:hint="eastAsia" w:ascii="宋体" w:hAnsi="宋体" w:eastAsia="宋体" w:cs="宋体"/>
                <w:b w:val="0"/>
                <w:bCs w:val="0"/>
                <w:i w:val="0"/>
                <w:iCs w:val="0"/>
                <w:color w:val="000000"/>
                <w:kern w:val="0"/>
                <w:sz w:val="24"/>
                <w:szCs w:val="24"/>
                <w:highlight w:val="none"/>
                <w:u w:val="none"/>
                <w:lang w:val="en-US" w:eastAsia="zh-CN" w:bidi="ar"/>
              </w:rPr>
            </w:pPr>
            <w:r>
              <w:rPr>
                <w:rFonts w:hint="eastAsia" w:ascii="宋体" w:hAnsi="宋体" w:eastAsia="宋体" w:cs="宋体"/>
                <w:b w:val="0"/>
                <w:bCs w:val="0"/>
                <w:i w:val="0"/>
                <w:iCs w:val="0"/>
                <w:color w:val="000000"/>
                <w:kern w:val="0"/>
                <w:sz w:val="24"/>
                <w:szCs w:val="24"/>
                <w:highlight w:val="none"/>
                <w:u w:val="none"/>
                <w:lang w:val="en-US" w:eastAsia="zh-CN" w:bidi="ar"/>
              </w:rPr>
              <w:t>10.6时间校对：数据周期上报时，有校时功能进行校对。</w:t>
            </w:r>
          </w:p>
          <w:p w14:paraId="4BF4A64C">
            <w:pPr>
              <w:keepNext w:val="0"/>
              <w:keepLines w:val="0"/>
              <w:widowControl/>
              <w:suppressLineNumbers w:val="0"/>
              <w:jc w:val="left"/>
              <w:textAlignment w:val="center"/>
              <w:rPr>
                <w:rFonts w:hint="eastAsia" w:ascii="宋体" w:hAnsi="宋体" w:eastAsia="宋体" w:cs="宋体"/>
                <w:b w:val="0"/>
                <w:bCs w:val="0"/>
                <w:i w:val="0"/>
                <w:iCs w:val="0"/>
                <w:color w:val="000000"/>
                <w:kern w:val="0"/>
                <w:sz w:val="24"/>
                <w:szCs w:val="24"/>
                <w:highlight w:val="none"/>
                <w:u w:val="none"/>
                <w:lang w:val="en-US" w:eastAsia="zh-CN" w:bidi="ar"/>
              </w:rPr>
            </w:pPr>
            <w:r>
              <w:rPr>
                <w:rFonts w:hint="eastAsia" w:ascii="宋体" w:hAnsi="宋体" w:eastAsia="宋体" w:cs="宋体"/>
                <w:b w:val="0"/>
                <w:bCs w:val="0"/>
                <w:i w:val="0"/>
                <w:iCs w:val="0"/>
                <w:color w:val="000000"/>
                <w:kern w:val="0"/>
                <w:sz w:val="24"/>
                <w:szCs w:val="24"/>
                <w:highlight w:val="none"/>
                <w:u w:val="none"/>
                <w:lang w:val="en-US" w:eastAsia="zh-CN" w:bidi="ar"/>
              </w:rPr>
              <w:t>10.7数据加密：采用高级加密标准，解密算法。</w:t>
            </w:r>
          </w:p>
          <w:p w14:paraId="45A09DA0">
            <w:pPr>
              <w:keepNext w:val="0"/>
              <w:keepLines w:val="0"/>
              <w:widowControl/>
              <w:suppressLineNumbers w:val="0"/>
              <w:jc w:val="left"/>
              <w:textAlignment w:val="center"/>
              <w:rPr>
                <w:rFonts w:hint="eastAsia" w:ascii="宋体" w:hAnsi="宋体" w:eastAsia="宋体" w:cs="宋体"/>
                <w:b w:val="0"/>
                <w:bCs w:val="0"/>
                <w:i w:val="0"/>
                <w:iCs w:val="0"/>
                <w:color w:val="000000"/>
                <w:kern w:val="0"/>
                <w:sz w:val="24"/>
                <w:szCs w:val="24"/>
                <w:highlight w:val="none"/>
                <w:u w:val="none"/>
                <w:lang w:val="en-US" w:eastAsia="zh-CN" w:bidi="ar"/>
              </w:rPr>
            </w:pPr>
            <w:r>
              <w:rPr>
                <w:rFonts w:hint="eastAsia" w:ascii="宋体" w:hAnsi="宋体" w:eastAsia="宋体" w:cs="宋体"/>
                <w:b w:val="0"/>
                <w:bCs w:val="0"/>
                <w:i w:val="0"/>
                <w:iCs w:val="0"/>
                <w:color w:val="000000"/>
                <w:kern w:val="0"/>
                <w:sz w:val="24"/>
                <w:szCs w:val="24"/>
                <w:highlight w:val="none"/>
                <w:u w:val="none"/>
                <w:lang w:val="en-US" w:eastAsia="zh-CN" w:bidi="ar"/>
              </w:rPr>
              <w:t>11、NB-IoT无磁传感远传水表机电转换及计数要求</w:t>
            </w:r>
          </w:p>
          <w:p w14:paraId="0DC4E748">
            <w:pPr>
              <w:keepNext w:val="0"/>
              <w:keepLines w:val="0"/>
              <w:widowControl/>
              <w:suppressLineNumbers w:val="0"/>
              <w:jc w:val="left"/>
              <w:textAlignment w:val="center"/>
              <w:rPr>
                <w:rFonts w:hint="eastAsia" w:ascii="宋体" w:hAnsi="宋体" w:eastAsia="宋体" w:cs="宋体"/>
                <w:b w:val="0"/>
                <w:bCs w:val="0"/>
                <w:i w:val="0"/>
                <w:iCs w:val="0"/>
                <w:color w:val="000000"/>
                <w:kern w:val="0"/>
                <w:sz w:val="24"/>
                <w:szCs w:val="24"/>
                <w:highlight w:val="none"/>
                <w:u w:val="none"/>
                <w:lang w:val="en-US" w:eastAsia="zh-CN" w:bidi="ar"/>
              </w:rPr>
            </w:pPr>
            <w:r>
              <w:rPr>
                <w:rFonts w:hint="eastAsia" w:ascii="宋体" w:hAnsi="宋体" w:eastAsia="宋体" w:cs="宋体"/>
                <w:b w:val="0"/>
                <w:bCs w:val="0"/>
                <w:i w:val="0"/>
                <w:iCs w:val="0"/>
                <w:color w:val="000000"/>
                <w:kern w:val="0"/>
                <w:sz w:val="24"/>
                <w:szCs w:val="24"/>
                <w:highlight w:val="none"/>
                <w:u w:val="none"/>
                <w:lang w:val="en-US" w:eastAsia="zh-CN" w:bidi="ar"/>
              </w:rPr>
              <w:t>11.1计数器：表盘标志必须符合国家相关要求，读数部分应由气体或特殊液体密封，保证与水隔绝。表盘表面干净、无气泡。梅花轮无遮挡，读数清晰。表盘始动梅花轮为黑色6瓣或10瓣常规形状；</w:t>
            </w:r>
          </w:p>
          <w:p w14:paraId="7BDD8A35">
            <w:pPr>
              <w:keepNext w:val="0"/>
              <w:keepLines w:val="0"/>
              <w:widowControl/>
              <w:suppressLineNumbers w:val="0"/>
              <w:jc w:val="left"/>
              <w:textAlignment w:val="center"/>
              <w:rPr>
                <w:rFonts w:hint="eastAsia" w:ascii="宋体" w:hAnsi="宋体" w:eastAsia="宋体" w:cs="宋体"/>
                <w:b w:val="0"/>
                <w:bCs w:val="0"/>
                <w:i w:val="0"/>
                <w:iCs w:val="0"/>
                <w:color w:val="000000"/>
                <w:kern w:val="0"/>
                <w:sz w:val="24"/>
                <w:szCs w:val="24"/>
                <w:highlight w:val="none"/>
                <w:u w:val="none"/>
                <w:lang w:val="en-US" w:eastAsia="zh-CN" w:bidi="ar"/>
              </w:rPr>
            </w:pPr>
            <w:r>
              <w:rPr>
                <w:rFonts w:hint="eastAsia" w:ascii="宋体" w:hAnsi="宋体" w:eastAsia="宋体" w:cs="宋体"/>
                <w:b w:val="0"/>
                <w:bCs w:val="0"/>
                <w:i w:val="0"/>
                <w:iCs w:val="0"/>
                <w:color w:val="000000"/>
                <w:kern w:val="0"/>
                <w:sz w:val="24"/>
                <w:szCs w:val="24"/>
                <w:highlight w:val="none"/>
                <w:u w:val="none"/>
                <w:lang w:val="en-US" w:eastAsia="zh-CN" w:bidi="ar"/>
              </w:rPr>
              <w:t>11.2机械字轮位数：指示到m³的位数不小于5位，即满行度不小于99999m³；</w:t>
            </w:r>
          </w:p>
          <w:p w14:paraId="4DDECAC7">
            <w:pPr>
              <w:keepNext w:val="0"/>
              <w:keepLines w:val="0"/>
              <w:widowControl/>
              <w:suppressLineNumbers w:val="0"/>
              <w:jc w:val="left"/>
              <w:textAlignment w:val="center"/>
              <w:rPr>
                <w:rFonts w:hint="eastAsia" w:ascii="宋体" w:hAnsi="宋体" w:eastAsia="宋体" w:cs="宋体"/>
                <w:b w:val="0"/>
                <w:bCs w:val="0"/>
                <w:i w:val="0"/>
                <w:iCs w:val="0"/>
                <w:color w:val="000000"/>
                <w:kern w:val="0"/>
                <w:sz w:val="24"/>
                <w:szCs w:val="24"/>
                <w:highlight w:val="none"/>
                <w:u w:val="none"/>
                <w:lang w:val="en-US" w:eastAsia="zh-CN" w:bidi="ar"/>
              </w:rPr>
            </w:pPr>
            <w:r>
              <w:rPr>
                <w:rFonts w:hint="eastAsia" w:ascii="宋体" w:hAnsi="宋体" w:eastAsia="宋体" w:cs="宋体"/>
                <w:b w:val="0"/>
                <w:bCs w:val="0"/>
                <w:i w:val="0"/>
                <w:iCs w:val="0"/>
                <w:color w:val="000000"/>
                <w:kern w:val="0"/>
                <w:sz w:val="24"/>
                <w:szCs w:val="24"/>
                <w:highlight w:val="none"/>
                <w:u w:val="none"/>
                <w:lang w:val="en-US" w:eastAsia="zh-CN" w:bidi="ar"/>
              </w:rPr>
              <w:t>11.3数据采集技术必须选用无磁技术。</w:t>
            </w:r>
          </w:p>
          <w:p w14:paraId="543A0D9C">
            <w:pPr>
              <w:keepNext w:val="0"/>
              <w:keepLines w:val="0"/>
              <w:widowControl/>
              <w:suppressLineNumbers w:val="0"/>
              <w:jc w:val="left"/>
              <w:textAlignment w:val="center"/>
              <w:rPr>
                <w:rFonts w:hint="eastAsia" w:ascii="宋体" w:hAnsi="宋体" w:eastAsia="宋体" w:cs="宋体"/>
                <w:b w:val="0"/>
                <w:bCs w:val="0"/>
                <w:i w:val="0"/>
                <w:iCs w:val="0"/>
                <w:color w:val="000000"/>
                <w:kern w:val="0"/>
                <w:sz w:val="24"/>
                <w:szCs w:val="24"/>
                <w:highlight w:val="none"/>
                <w:u w:val="none"/>
                <w:lang w:val="en-US" w:eastAsia="zh-CN" w:bidi="ar"/>
              </w:rPr>
            </w:pPr>
            <w:r>
              <w:rPr>
                <w:rFonts w:hint="eastAsia" w:ascii="宋体" w:hAnsi="宋体" w:eastAsia="宋体" w:cs="宋体"/>
                <w:b w:val="0"/>
                <w:bCs w:val="0"/>
                <w:i w:val="0"/>
                <w:iCs w:val="0"/>
                <w:color w:val="000000"/>
                <w:kern w:val="0"/>
                <w:sz w:val="24"/>
                <w:szCs w:val="24"/>
                <w:highlight w:val="none"/>
                <w:u w:val="none"/>
                <w:lang w:val="en-US" w:eastAsia="zh-CN" w:bidi="ar"/>
              </w:rPr>
              <w:t>11.4采用不锈钢金属薄片作为信号驱动源，采样分辨率为1升计量；</w:t>
            </w:r>
          </w:p>
          <w:p w14:paraId="68239707">
            <w:pPr>
              <w:keepNext w:val="0"/>
              <w:keepLines w:val="0"/>
              <w:widowControl/>
              <w:suppressLineNumbers w:val="0"/>
              <w:jc w:val="left"/>
              <w:textAlignment w:val="center"/>
              <w:rPr>
                <w:rFonts w:hint="eastAsia" w:ascii="宋体" w:hAnsi="宋体" w:eastAsia="宋体" w:cs="宋体"/>
                <w:b w:val="0"/>
                <w:bCs w:val="0"/>
                <w:i w:val="0"/>
                <w:iCs w:val="0"/>
                <w:color w:val="000000"/>
                <w:kern w:val="0"/>
                <w:sz w:val="24"/>
                <w:szCs w:val="24"/>
                <w:highlight w:val="none"/>
                <w:u w:val="none"/>
                <w:lang w:val="en-US" w:eastAsia="zh-CN" w:bidi="ar"/>
              </w:rPr>
            </w:pPr>
            <w:r>
              <w:rPr>
                <w:rFonts w:hint="eastAsia" w:ascii="宋体" w:hAnsi="宋体" w:eastAsia="宋体" w:cs="宋体"/>
                <w:b w:val="0"/>
                <w:bCs w:val="0"/>
                <w:i w:val="0"/>
                <w:iCs w:val="0"/>
                <w:color w:val="000000"/>
                <w:kern w:val="0"/>
                <w:sz w:val="24"/>
                <w:szCs w:val="24"/>
                <w:highlight w:val="none"/>
                <w:u w:val="none"/>
                <w:lang w:val="en-US" w:eastAsia="zh-CN" w:bidi="ar"/>
              </w:rPr>
              <w:t>11.5任何强静磁场（10000 高斯以上）干扰对信号采样及计量不起作用；</w:t>
            </w:r>
          </w:p>
          <w:p w14:paraId="7B73FD9A">
            <w:pPr>
              <w:keepNext w:val="0"/>
              <w:keepLines w:val="0"/>
              <w:widowControl/>
              <w:suppressLineNumbers w:val="0"/>
              <w:jc w:val="left"/>
              <w:textAlignment w:val="center"/>
              <w:rPr>
                <w:rFonts w:hint="eastAsia" w:ascii="宋体" w:hAnsi="宋体" w:eastAsia="宋体" w:cs="宋体"/>
                <w:b w:val="0"/>
                <w:bCs w:val="0"/>
                <w:i w:val="0"/>
                <w:iCs w:val="0"/>
                <w:color w:val="000000"/>
                <w:kern w:val="0"/>
                <w:sz w:val="24"/>
                <w:szCs w:val="24"/>
                <w:highlight w:val="none"/>
                <w:u w:val="none"/>
                <w:lang w:val="en-US" w:eastAsia="zh-CN" w:bidi="ar"/>
              </w:rPr>
            </w:pPr>
            <w:r>
              <w:rPr>
                <w:rFonts w:hint="eastAsia" w:ascii="宋体" w:hAnsi="宋体" w:eastAsia="宋体" w:cs="宋体"/>
                <w:b w:val="0"/>
                <w:bCs w:val="0"/>
                <w:i w:val="0"/>
                <w:iCs w:val="0"/>
                <w:color w:val="000000"/>
                <w:kern w:val="0"/>
                <w:sz w:val="24"/>
                <w:szCs w:val="24"/>
                <w:highlight w:val="none"/>
                <w:u w:val="none"/>
                <w:lang w:val="en-US" w:eastAsia="zh-CN" w:bidi="ar"/>
              </w:rPr>
              <w:t>11.6机械计量与电子采样及通讯模组可分离，方便维护及重复使用；</w:t>
            </w:r>
          </w:p>
          <w:p w14:paraId="5173698D">
            <w:pPr>
              <w:keepNext w:val="0"/>
              <w:keepLines w:val="0"/>
              <w:widowControl/>
              <w:suppressLineNumbers w:val="0"/>
              <w:jc w:val="left"/>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11.7无遮挡结构方便水司校验。</w:t>
            </w:r>
          </w:p>
          <w:p w14:paraId="72C2F351">
            <w:pPr>
              <w:keepNext w:val="0"/>
              <w:keepLines w:val="0"/>
              <w:widowControl/>
              <w:suppressLineNumbers w:val="0"/>
              <w:jc w:val="left"/>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12、通讯要求</w:t>
            </w:r>
          </w:p>
          <w:p w14:paraId="072F576E">
            <w:pPr>
              <w:keepNext w:val="0"/>
              <w:keepLines w:val="0"/>
              <w:widowControl/>
              <w:suppressLineNumbers w:val="0"/>
              <w:jc w:val="left"/>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12.1投标人所提供远传水表价格包含8年通讯费用（8年后由水表厂商代收通讯费，费用不得高于中标方与通讯服务商的协议价）及初期调试费用。</w:t>
            </w:r>
          </w:p>
          <w:p w14:paraId="1FDBF307">
            <w:pPr>
              <w:keepNext w:val="0"/>
              <w:keepLines w:val="0"/>
              <w:widowControl/>
              <w:suppressLineNumbers w:val="0"/>
              <w:jc w:val="left"/>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12.2投标人所提供远传水表的NB-IoT物联网卡必须由本地通讯运营商提供的NB-IoT物联网卡，中标方在签订合同时需提供与通讯服务商合作协议，否则采购方有权拒签合同。</w:t>
            </w:r>
          </w:p>
          <w:p w14:paraId="70DC0A89">
            <w:pPr>
              <w:keepNext w:val="0"/>
              <w:keepLines w:val="0"/>
              <w:widowControl/>
              <w:suppressLineNumbers w:val="0"/>
              <w:spacing w:line="240" w:lineRule="auto"/>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具体要求以招标文件要求为准。</w:t>
            </w:r>
          </w:p>
          <w:p w14:paraId="46CB67C9">
            <w:pPr>
              <w:keepNext w:val="0"/>
              <w:keepLines w:val="0"/>
              <w:widowControl/>
              <w:suppressLineNumbers w:val="0"/>
              <w:spacing w:line="240" w:lineRule="auto"/>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三、本项目招标不接受联合体投标。</w:t>
            </w:r>
          </w:p>
          <w:p w14:paraId="2C44AF16">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四、本项目参</w:t>
            </w:r>
            <w:r>
              <w:rPr>
                <w:rFonts w:hint="eastAsia" w:ascii="宋体" w:hAnsi="宋体" w:eastAsia="宋体" w:cs="宋体"/>
                <w:b/>
                <w:bCs/>
                <w:i w:val="0"/>
                <w:iCs w:val="0"/>
                <w:color w:val="auto"/>
                <w:kern w:val="0"/>
                <w:sz w:val="24"/>
                <w:szCs w:val="24"/>
                <w:u w:val="none"/>
                <w:lang w:val="en-US" w:eastAsia="zh-CN" w:bidi="ar"/>
              </w:rPr>
              <w:t>考品牌：</w:t>
            </w:r>
            <w:r>
              <w:rPr>
                <w:rFonts w:hint="eastAsia" w:ascii="宋体" w:hAnsi="宋体" w:eastAsia="宋体" w:cs="宋体"/>
                <w:b/>
                <w:bCs/>
                <w:i w:val="0"/>
                <w:iCs w:val="0"/>
                <w:color w:val="auto"/>
                <w:kern w:val="0"/>
                <w:sz w:val="24"/>
                <w:szCs w:val="24"/>
                <w:highlight w:val="none"/>
                <w:u w:val="none"/>
                <w:lang w:val="en-US" w:eastAsia="zh-CN" w:bidi="ar"/>
              </w:rPr>
              <w:t>三川牌</w:t>
            </w:r>
            <w:bookmarkStart w:id="0" w:name="_GoBack"/>
            <w:bookmarkEnd w:id="0"/>
            <w:r>
              <w:rPr>
                <w:rFonts w:hint="eastAsia" w:ascii="宋体" w:hAnsi="宋体" w:eastAsia="宋体" w:cs="宋体"/>
                <w:b/>
                <w:bCs/>
                <w:i w:val="0"/>
                <w:iCs w:val="0"/>
                <w:color w:val="auto"/>
                <w:kern w:val="0"/>
                <w:sz w:val="24"/>
                <w:szCs w:val="24"/>
                <w:highlight w:val="none"/>
                <w:u w:val="none"/>
                <w:lang w:val="en-US" w:eastAsia="zh-CN" w:bidi="ar"/>
              </w:rPr>
              <w:t>、宁波牌、SUNTRONT牌、杭水牌、山科牌、东海牌</w:t>
            </w:r>
            <w:r>
              <w:rPr>
                <w:rFonts w:hint="eastAsia" w:ascii="宋体" w:hAnsi="宋体" w:eastAsia="宋体" w:cs="宋体"/>
                <w:b/>
                <w:bCs/>
                <w:i w:val="0"/>
                <w:iCs w:val="0"/>
                <w:color w:val="auto"/>
                <w:kern w:val="0"/>
                <w:sz w:val="24"/>
                <w:szCs w:val="24"/>
                <w:u w:val="none"/>
                <w:lang w:val="en-US" w:eastAsia="zh-CN" w:bidi="ar"/>
              </w:rPr>
              <w:t>，参加报价的供应商如以参考品牌进行报价的，需提供所投品牌商标证明（若为经销商的，需提供所投品牌的授权委托书及品牌商标证明）</w:t>
            </w:r>
            <w:r>
              <w:rPr>
                <w:rFonts w:hint="eastAsia" w:ascii="宋体" w:hAnsi="宋体" w:eastAsia="宋体" w:cs="宋体"/>
                <w:b/>
                <w:bCs/>
                <w:i w:val="0"/>
                <w:iCs w:val="0"/>
                <w:color w:val="000000"/>
                <w:kern w:val="0"/>
                <w:sz w:val="24"/>
                <w:szCs w:val="24"/>
                <w:u w:val="none"/>
                <w:lang w:val="en-US" w:eastAsia="zh-CN" w:bidi="ar"/>
              </w:rPr>
              <w:t xml:space="preserve">；本次参与询价的报价供应商如以参考品牌之外的进行报价，报价产品的技术参数或质量标准不得低于参考品牌的档次，同时报价供应商应当提供拟投货物的技术资料及相关证明材料复印件并加盖公章与报价文件、资格要求的证明材料，以邮寄方式到达指定接收地址为准（江苏天宏华信工程投资管理咨询有限公司（启东市南苑西路1168号国动产业园2号楼402室），联系人：杨女士，联系电话：0513-83248588）。    </w:t>
            </w:r>
          </w:p>
        </w:tc>
      </w:tr>
    </w:tbl>
    <w:p w14:paraId="5FD26EC5"/>
    <w:p w14:paraId="3A1D8303">
      <w:pPr>
        <w:tabs>
          <w:tab w:val="left" w:pos="5325"/>
        </w:tabs>
        <w:snapToGrid w:val="0"/>
        <w:spacing w:line="360" w:lineRule="auto"/>
        <w:contextualSpacing/>
        <w:rPr>
          <w:rFonts w:hint="eastAsia" w:ascii="宋体" w:hAnsi="宋体"/>
          <w:b/>
          <w:color w:val="000000"/>
          <w:sz w:val="28"/>
          <w:szCs w:val="28"/>
        </w:rPr>
      </w:pPr>
    </w:p>
    <w:p w14:paraId="40D2402A">
      <w:pPr>
        <w:tabs>
          <w:tab w:val="left" w:pos="5325"/>
        </w:tabs>
        <w:snapToGrid w:val="0"/>
        <w:spacing w:line="360" w:lineRule="auto"/>
        <w:contextualSpacing/>
        <w:rPr>
          <w:rFonts w:hint="eastAsia" w:ascii="宋体" w:hAnsi="宋体"/>
          <w:b/>
          <w:color w:val="000000"/>
          <w:sz w:val="28"/>
          <w:szCs w:val="28"/>
        </w:rPr>
      </w:pPr>
      <w:r>
        <w:rPr>
          <w:rFonts w:hint="eastAsia" w:ascii="宋体" w:hAnsi="宋体"/>
          <w:b/>
          <w:color w:val="000000"/>
          <w:sz w:val="28"/>
          <w:szCs w:val="28"/>
        </w:rPr>
        <w:t xml:space="preserve">报价单位（盖章）：         </w:t>
      </w:r>
    </w:p>
    <w:p w14:paraId="0E194DEF">
      <w:pPr>
        <w:tabs>
          <w:tab w:val="left" w:pos="5325"/>
        </w:tabs>
        <w:snapToGrid w:val="0"/>
        <w:spacing w:line="360" w:lineRule="auto"/>
        <w:contextualSpacing/>
        <w:rPr>
          <w:rFonts w:hint="eastAsia" w:ascii="宋体" w:hAnsi="宋体"/>
          <w:b/>
          <w:color w:val="000000"/>
          <w:sz w:val="28"/>
          <w:szCs w:val="28"/>
        </w:rPr>
      </w:pPr>
      <w:r>
        <w:rPr>
          <w:rFonts w:hint="eastAsia" w:ascii="宋体" w:hAnsi="宋体"/>
          <w:b/>
          <w:color w:val="000000"/>
          <w:sz w:val="28"/>
          <w:szCs w:val="28"/>
        </w:rPr>
        <w:t xml:space="preserve">联系人：       </w:t>
      </w:r>
    </w:p>
    <w:p w14:paraId="092C7C99">
      <w:pPr>
        <w:tabs>
          <w:tab w:val="left" w:pos="5325"/>
        </w:tabs>
        <w:snapToGrid w:val="0"/>
        <w:spacing w:line="360" w:lineRule="auto"/>
        <w:contextualSpacing/>
        <w:rPr>
          <w:rFonts w:hint="default" w:ascii="宋体" w:hAnsi="宋体" w:eastAsiaTheme="minorEastAsia"/>
          <w:b/>
          <w:color w:val="000000"/>
          <w:sz w:val="28"/>
          <w:szCs w:val="28"/>
          <w:lang w:val="en-US" w:eastAsia="zh-CN"/>
        </w:rPr>
      </w:pPr>
      <w:r>
        <w:rPr>
          <w:rFonts w:hint="eastAsia" w:ascii="宋体" w:hAnsi="宋体"/>
          <w:b/>
          <w:color w:val="000000"/>
          <w:sz w:val="28"/>
          <w:szCs w:val="28"/>
        </w:rPr>
        <w:t xml:space="preserve">联系电话：       </w:t>
      </w:r>
      <w:r>
        <w:rPr>
          <w:rFonts w:hint="eastAsia" w:ascii="宋体" w:hAnsi="宋体"/>
          <w:b/>
          <w:color w:val="000000"/>
          <w:sz w:val="28"/>
          <w:szCs w:val="28"/>
          <w:lang w:val="en-US" w:eastAsia="zh-CN"/>
        </w:rPr>
        <w:t xml:space="preserve">  </w:t>
      </w:r>
    </w:p>
    <w:p w14:paraId="2E99BD8C">
      <w:pPr>
        <w:tabs>
          <w:tab w:val="left" w:pos="5325"/>
        </w:tabs>
        <w:snapToGrid w:val="0"/>
        <w:spacing w:line="360" w:lineRule="auto"/>
        <w:contextualSpacing/>
        <w:rPr>
          <w:rFonts w:hint="default"/>
          <w:lang w:val="en-US" w:eastAsia="zh-CN"/>
        </w:rPr>
      </w:pPr>
      <w:r>
        <w:rPr>
          <w:rFonts w:hint="eastAsia" w:ascii="宋体" w:hAnsi="宋体"/>
          <w:b/>
          <w:color w:val="000000"/>
          <w:sz w:val="28"/>
          <w:szCs w:val="28"/>
        </w:rPr>
        <w:t>报价</w:t>
      </w:r>
      <w:r>
        <w:rPr>
          <w:rFonts w:hint="eastAsia" w:ascii="宋体" w:hAnsi="宋体"/>
          <w:b/>
          <w:color w:val="000000"/>
          <w:sz w:val="28"/>
          <w:szCs w:val="28"/>
          <w:lang w:eastAsia="zh-CN"/>
        </w:rPr>
        <w:t>时间</w:t>
      </w:r>
      <w:r>
        <w:rPr>
          <w:rFonts w:hint="eastAsia" w:ascii="宋体" w:hAnsi="宋体"/>
          <w:b/>
          <w:color w:val="000000"/>
          <w:sz w:val="28"/>
          <w:szCs w:val="28"/>
        </w:rPr>
        <w:t>：</w:t>
      </w:r>
    </w:p>
    <w:sectPr>
      <w:footerReference r:id="rId3" w:type="default"/>
      <w:pgSz w:w="11906" w:h="16838"/>
      <w:pgMar w:top="1440" w:right="1080" w:bottom="1440" w:left="108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203717">
    <w:pPr>
      <w:pStyle w:val="1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A406848">
                          <w:pPr>
                            <w:pStyle w:val="1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EjD0ckBAACaAwAADgAAAGRycy9lMm9Eb2MueG1srVPNjtMwEL4j8Q6W&#10;79Rpk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pt6Oo1JY5bnPjl+7fLj1+Xn1/J&#10;MuvTB6gx7SFgYhru/IBbM/sBnZn2oKLNXyREMI7qnq/qyiERkR+tV+t1hSGBsfmC+OzxeYiQ3kpv&#10;STYaGnF8RVV+eg9pTJ1TcjXn77UxZYTG/eVAzOxhufexx2ylYT9MhPa+PSOfHiffUIeLTol551DY&#10;vCSzEWdjPxvHEPWhK1uU60G4PSZsovSWK4ywU2EcWWE3rVfeiT/vJevxl9r+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MSMPRyQEAAJoDAAAOAAAAAAAAAAEAIAAAAB4BAABkcnMvZTJvRG9j&#10;LnhtbFBLBQYAAAAABgAGAFkBAABZBQAAAAA=&#10;">
              <v:fill on="f" focussize="0,0"/>
              <v:stroke on="f"/>
              <v:imagedata o:title=""/>
              <o:lock v:ext="edit" aspectratio="f"/>
              <v:textbox inset="0mm,0mm,0mm,0mm" style="mso-fit-shape-to-text:t;">
                <w:txbxContent>
                  <w:p w14:paraId="2A406848">
                    <w:pPr>
                      <w:pStyle w:val="1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hmYTM4ZDQ0OTIyOTc4ZDI1MjJiMzJjMTU1ODUxMTgifQ=="/>
  </w:docVars>
  <w:rsids>
    <w:rsidRoot w:val="00C51756"/>
    <w:rsid w:val="00031766"/>
    <w:rsid w:val="001A672A"/>
    <w:rsid w:val="002702DF"/>
    <w:rsid w:val="00355A7A"/>
    <w:rsid w:val="0037713F"/>
    <w:rsid w:val="00467337"/>
    <w:rsid w:val="00A237DF"/>
    <w:rsid w:val="00C51756"/>
    <w:rsid w:val="00CA31DF"/>
    <w:rsid w:val="013A07FE"/>
    <w:rsid w:val="01534182"/>
    <w:rsid w:val="01F36FCC"/>
    <w:rsid w:val="02004145"/>
    <w:rsid w:val="0215722A"/>
    <w:rsid w:val="03A522CC"/>
    <w:rsid w:val="03EC63FF"/>
    <w:rsid w:val="04167BE0"/>
    <w:rsid w:val="04FE1868"/>
    <w:rsid w:val="055210FB"/>
    <w:rsid w:val="05723828"/>
    <w:rsid w:val="060F014D"/>
    <w:rsid w:val="0639341C"/>
    <w:rsid w:val="06C9698C"/>
    <w:rsid w:val="06DE411B"/>
    <w:rsid w:val="081F710D"/>
    <w:rsid w:val="08767CBA"/>
    <w:rsid w:val="09CE1802"/>
    <w:rsid w:val="0ADA1283"/>
    <w:rsid w:val="0B837613"/>
    <w:rsid w:val="0C807FF6"/>
    <w:rsid w:val="0C922E30"/>
    <w:rsid w:val="0D18108F"/>
    <w:rsid w:val="0D9A7247"/>
    <w:rsid w:val="0ECA2A51"/>
    <w:rsid w:val="0EE36B7D"/>
    <w:rsid w:val="0F0243F5"/>
    <w:rsid w:val="0F6618B1"/>
    <w:rsid w:val="0FD0740D"/>
    <w:rsid w:val="108154AD"/>
    <w:rsid w:val="1087349F"/>
    <w:rsid w:val="10BD60DC"/>
    <w:rsid w:val="111E6007"/>
    <w:rsid w:val="11CE6168"/>
    <w:rsid w:val="12EA747F"/>
    <w:rsid w:val="13121E77"/>
    <w:rsid w:val="13455F77"/>
    <w:rsid w:val="137941FB"/>
    <w:rsid w:val="14AA41AE"/>
    <w:rsid w:val="152A4FA3"/>
    <w:rsid w:val="15B72A35"/>
    <w:rsid w:val="15C50828"/>
    <w:rsid w:val="162D1670"/>
    <w:rsid w:val="16A21E8F"/>
    <w:rsid w:val="183C6614"/>
    <w:rsid w:val="190E196B"/>
    <w:rsid w:val="19AB17F4"/>
    <w:rsid w:val="1A850712"/>
    <w:rsid w:val="1AB10CD6"/>
    <w:rsid w:val="1B932687"/>
    <w:rsid w:val="1B9F513A"/>
    <w:rsid w:val="1BCA6B98"/>
    <w:rsid w:val="1CAC06B2"/>
    <w:rsid w:val="1E8B21FB"/>
    <w:rsid w:val="1FF00B97"/>
    <w:rsid w:val="221847B8"/>
    <w:rsid w:val="2262713B"/>
    <w:rsid w:val="228D26CE"/>
    <w:rsid w:val="22CA2753"/>
    <w:rsid w:val="240E2A35"/>
    <w:rsid w:val="245876FD"/>
    <w:rsid w:val="24BA1822"/>
    <w:rsid w:val="251A293E"/>
    <w:rsid w:val="257C6C31"/>
    <w:rsid w:val="25DC55DB"/>
    <w:rsid w:val="25F86C3B"/>
    <w:rsid w:val="26396774"/>
    <w:rsid w:val="26F51311"/>
    <w:rsid w:val="270B5BBD"/>
    <w:rsid w:val="274517C9"/>
    <w:rsid w:val="27B57E67"/>
    <w:rsid w:val="27E64767"/>
    <w:rsid w:val="2940272E"/>
    <w:rsid w:val="295308A3"/>
    <w:rsid w:val="2976130F"/>
    <w:rsid w:val="2A1306E4"/>
    <w:rsid w:val="2B54029B"/>
    <w:rsid w:val="2BA53061"/>
    <w:rsid w:val="2CEF3FB8"/>
    <w:rsid w:val="2EA874E8"/>
    <w:rsid w:val="2ED5212C"/>
    <w:rsid w:val="30552FD2"/>
    <w:rsid w:val="309803CF"/>
    <w:rsid w:val="30C90D87"/>
    <w:rsid w:val="30F33128"/>
    <w:rsid w:val="322A22B1"/>
    <w:rsid w:val="33E5680D"/>
    <w:rsid w:val="346F257B"/>
    <w:rsid w:val="34BE4316"/>
    <w:rsid w:val="36026B8F"/>
    <w:rsid w:val="36F07953"/>
    <w:rsid w:val="37DC268D"/>
    <w:rsid w:val="3885236D"/>
    <w:rsid w:val="391E3890"/>
    <w:rsid w:val="399E0FFD"/>
    <w:rsid w:val="3AF066C3"/>
    <w:rsid w:val="3B057B84"/>
    <w:rsid w:val="3BEA51F5"/>
    <w:rsid w:val="3C0733A8"/>
    <w:rsid w:val="3C6A6406"/>
    <w:rsid w:val="3D2C0ADF"/>
    <w:rsid w:val="3D633667"/>
    <w:rsid w:val="3E07730C"/>
    <w:rsid w:val="3E1A36CE"/>
    <w:rsid w:val="3E1E176E"/>
    <w:rsid w:val="3E202F15"/>
    <w:rsid w:val="3E9078C4"/>
    <w:rsid w:val="3E9E0AF7"/>
    <w:rsid w:val="3F147BD8"/>
    <w:rsid w:val="3FD55619"/>
    <w:rsid w:val="404B6C28"/>
    <w:rsid w:val="40C63B34"/>
    <w:rsid w:val="40E65AF9"/>
    <w:rsid w:val="420951A2"/>
    <w:rsid w:val="424A7A77"/>
    <w:rsid w:val="42875CFB"/>
    <w:rsid w:val="42C92294"/>
    <w:rsid w:val="42F9198D"/>
    <w:rsid w:val="43132246"/>
    <w:rsid w:val="43D92990"/>
    <w:rsid w:val="43F73926"/>
    <w:rsid w:val="442F0C74"/>
    <w:rsid w:val="452F3C74"/>
    <w:rsid w:val="454930C6"/>
    <w:rsid w:val="45FA78C3"/>
    <w:rsid w:val="47675677"/>
    <w:rsid w:val="48077256"/>
    <w:rsid w:val="48F53072"/>
    <w:rsid w:val="494621F7"/>
    <w:rsid w:val="4A8F0C0B"/>
    <w:rsid w:val="4B9761E7"/>
    <w:rsid w:val="4C1B0BC7"/>
    <w:rsid w:val="4C4458EE"/>
    <w:rsid w:val="4C7F348C"/>
    <w:rsid w:val="4CA44F5B"/>
    <w:rsid w:val="4CDC0FCC"/>
    <w:rsid w:val="4DCA28A4"/>
    <w:rsid w:val="4F25246D"/>
    <w:rsid w:val="50EA7F43"/>
    <w:rsid w:val="50F06B23"/>
    <w:rsid w:val="513973A6"/>
    <w:rsid w:val="5153495F"/>
    <w:rsid w:val="51ED6A4B"/>
    <w:rsid w:val="52304CA0"/>
    <w:rsid w:val="526D1A50"/>
    <w:rsid w:val="52DA5D1C"/>
    <w:rsid w:val="53C8523F"/>
    <w:rsid w:val="54212AF2"/>
    <w:rsid w:val="54F36E09"/>
    <w:rsid w:val="55612C3A"/>
    <w:rsid w:val="558820D0"/>
    <w:rsid w:val="559612BE"/>
    <w:rsid w:val="564176C4"/>
    <w:rsid w:val="57346FE0"/>
    <w:rsid w:val="57F83763"/>
    <w:rsid w:val="58024C20"/>
    <w:rsid w:val="59494735"/>
    <w:rsid w:val="59DB49CF"/>
    <w:rsid w:val="5A3B2D3C"/>
    <w:rsid w:val="5A683FFF"/>
    <w:rsid w:val="5AA769EB"/>
    <w:rsid w:val="5AD74C21"/>
    <w:rsid w:val="5AF102AB"/>
    <w:rsid w:val="5B1D51DA"/>
    <w:rsid w:val="5B25478F"/>
    <w:rsid w:val="5B546ADF"/>
    <w:rsid w:val="5C664E8E"/>
    <w:rsid w:val="5DBF29C4"/>
    <w:rsid w:val="5EA0416F"/>
    <w:rsid w:val="5ED66352"/>
    <w:rsid w:val="5F5E0F4F"/>
    <w:rsid w:val="5F7354A7"/>
    <w:rsid w:val="60DD2497"/>
    <w:rsid w:val="62111F83"/>
    <w:rsid w:val="62B14348"/>
    <w:rsid w:val="62D85246"/>
    <w:rsid w:val="631F5A7F"/>
    <w:rsid w:val="63800070"/>
    <w:rsid w:val="63F97E40"/>
    <w:rsid w:val="640E6385"/>
    <w:rsid w:val="641454FD"/>
    <w:rsid w:val="64B20D48"/>
    <w:rsid w:val="66026746"/>
    <w:rsid w:val="662752EF"/>
    <w:rsid w:val="66DD5F97"/>
    <w:rsid w:val="67896ED4"/>
    <w:rsid w:val="68BA0755"/>
    <w:rsid w:val="68E65C61"/>
    <w:rsid w:val="693F2885"/>
    <w:rsid w:val="69BC72C7"/>
    <w:rsid w:val="6B342BA7"/>
    <w:rsid w:val="6CF54EC6"/>
    <w:rsid w:val="6D967C55"/>
    <w:rsid w:val="6D983C19"/>
    <w:rsid w:val="6F1E6154"/>
    <w:rsid w:val="6F8F0EBD"/>
    <w:rsid w:val="6FB438A3"/>
    <w:rsid w:val="701F75C9"/>
    <w:rsid w:val="703F45D4"/>
    <w:rsid w:val="708F5A33"/>
    <w:rsid w:val="71072C9F"/>
    <w:rsid w:val="719800FE"/>
    <w:rsid w:val="719C4374"/>
    <w:rsid w:val="724D47CD"/>
    <w:rsid w:val="7289234D"/>
    <w:rsid w:val="72D554BB"/>
    <w:rsid w:val="736E263D"/>
    <w:rsid w:val="7373088D"/>
    <w:rsid w:val="73F3271F"/>
    <w:rsid w:val="74A2409E"/>
    <w:rsid w:val="75062D14"/>
    <w:rsid w:val="755D5634"/>
    <w:rsid w:val="75CD4430"/>
    <w:rsid w:val="75DF4EC9"/>
    <w:rsid w:val="7638442C"/>
    <w:rsid w:val="76E43B18"/>
    <w:rsid w:val="77AF3849"/>
    <w:rsid w:val="78937BBC"/>
    <w:rsid w:val="792C41C6"/>
    <w:rsid w:val="79852FF6"/>
    <w:rsid w:val="7ACC2155"/>
    <w:rsid w:val="7C156B31"/>
    <w:rsid w:val="7C5E095D"/>
    <w:rsid w:val="7CAC1AA7"/>
    <w:rsid w:val="7CB80EEC"/>
    <w:rsid w:val="7CC32ED8"/>
    <w:rsid w:val="7D105E6B"/>
    <w:rsid w:val="7D1C36F2"/>
    <w:rsid w:val="7DB32A41"/>
    <w:rsid w:val="7DD66E82"/>
    <w:rsid w:val="7F0B578D"/>
    <w:rsid w:val="7F131561"/>
    <w:rsid w:val="7FE26D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qFormat="1" w:uiPriority="99" w:semiHidden="0"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5"/>
    <w:autoRedefine/>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6"/>
    <w:autoRedefine/>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27"/>
    <w:autoRedefine/>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28"/>
    <w:autoRedefine/>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6">
    <w:name w:val="heading 5"/>
    <w:basedOn w:val="1"/>
    <w:next w:val="1"/>
    <w:link w:val="29"/>
    <w:autoRedefine/>
    <w:unhideWhenUsed/>
    <w:qFormat/>
    <w:uiPriority w:val="9"/>
    <w:pPr>
      <w:keepNext/>
      <w:keepLines/>
      <w:spacing w:before="280" w:after="290" w:line="376" w:lineRule="auto"/>
      <w:outlineLvl w:val="4"/>
    </w:pPr>
    <w:rPr>
      <w:b/>
      <w:bCs/>
      <w:sz w:val="28"/>
      <w:szCs w:val="28"/>
    </w:rPr>
  </w:style>
  <w:style w:type="paragraph" w:styleId="7">
    <w:name w:val="heading 6"/>
    <w:basedOn w:val="1"/>
    <w:next w:val="1"/>
    <w:link w:val="30"/>
    <w:autoRedefine/>
    <w:unhideWhenUsed/>
    <w:qFormat/>
    <w:uiPriority w:val="9"/>
    <w:pPr>
      <w:keepNext/>
      <w:keepLines/>
      <w:spacing w:before="240" w:after="64" w:line="320" w:lineRule="auto"/>
      <w:outlineLvl w:val="5"/>
    </w:pPr>
    <w:rPr>
      <w:rFonts w:asciiTheme="majorHAnsi" w:hAnsiTheme="majorHAnsi" w:eastAsiaTheme="majorEastAsia" w:cstheme="majorBidi"/>
      <w:b/>
      <w:bCs/>
      <w:sz w:val="24"/>
      <w:szCs w:val="24"/>
    </w:rPr>
  </w:style>
  <w:style w:type="character" w:default="1" w:styleId="22">
    <w:name w:val="Default Paragraph Font"/>
    <w:autoRedefine/>
    <w:semiHidden/>
    <w:unhideWhenUsed/>
    <w:qFormat/>
    <w:uiPriority w:val="1"/>
  </w:style>
  <w:style w:type="table" w:default="1" w:styleId="20">
    <w:name w:val="Normal Table"/>
    <w:autoRedefine/>
    <w:semiHidden/>
    <w:unhideWhenUsed/>
    <w:qFormat/>
    <w:uiPriority w:val="99"/>
    <w:tblPr>
      <w:tblCellMar>
        <w:top w:w="0" w:type="dxa"/>
        <w:left w:w="108" w:type="dxa"/>
        <w:bottom w:w="0" w:type="dxa"/>
        <w:right w:w="108" w:type="dxa"/>
      </w:tblCellMar>
    </w:tblPr>
  </w:style>
  <w:style w:type="paragraph" w:styleId="8">
    <w:name w:val="Normal Indent"/>
    <w:basedOn w:val="1"/>
    <w:qFormat/>
    <w:uiPriority w:val="0"/>
    <w:pPr>
      <w:ind w:firstLine="420"/>
    </w:pPr>
    <w:rPr>
      <w:szCs w:val="20"/>
    </w:rPr>
  </w:style>
  <w:style w:type="paragraph" w:styleId="9">
    <w:name w:val="annotation text"/>
    <w:basedOn w:val="1"/>
    <w:semiHidden/>
    <w:unhideWhenUsed/>
    <w:qFormat/>
    <w:uiPriority w:val="99"/>
    <w:pPr>
      <w:jc w:val="left"/>
    </w:pPr>
  </w:style>
  <w:style w:type="paragraph" w:styleId="10">
    <w:name w:val="Body Text"/>
    <w:basedOn w:val="1"/>
    <w:link w:val="31"/>
    <w:autoRedefine/>
    <w:qFormat/>
    <w:uiPriority w:val="0"/>
    <w:pPr>
      <w:spacing w:after="120"/>
    </w:pPr>
    <w:rPr>
      <w:rFonts w:ascii="Times New Roman" w:hAnsi="Times New Roman" w:eastAsia="宋体" w:cs="Times New Roman"/>
      <w:kern w:val="0"/>
      <w:sz w:val="24"/>
      <w:szCs w:val="24"/>
    </w:rPr>
  </w:style>
  <w:style w:type="paragraph" w:styleId="11">
    <w:name w:val="Body Text Indent"/>
    <w:basedOn w:val="1"/>
    <w:next w:val="12"/>
    <w:autoRedefine/>
    <w:qFormat/>
    <w:uiPriority w:val="0"/>
    <w:pPr>
      <w:ind w:left="420" w:leftChars="200"/>
    </w:pPr>
  </w:style>
  <w:style w:type="paragraph" w:styleId="12">
    <w:name w:val="envelope return"/>
    <w:basedOn w:val="1"/>
    <w:autoRedefine/>
    <w:qFormat/>
    <w:uiPriority w:val="0"/>
    <w:pPr>
      <w:snapToGrid w:val="0"/>
    </w:pPr>
    <w:rPr>
      <w:rFonts w:ascii="Arial" w:hAnsi="Arial"/>
    </w:rPr>
  </w:style>
  <w:style w:type="paragraph" w:styleId="13">
    <w:name w:val="index 4"/>
    <w:basedOn w:val="1"/>
    <w:next w:val="1"/>
    <w:autoRedefine/>
    <w:unhideWhenUsed/>
    <w:qFormat/>
    <w:uiPriority w:val="99"/>
    <w:pPr>
      <w:ind w:left="600" w:leftChars="600"/>
    </w:pPr>
    <w:rPr>
      <w:rFonts w:ascii="Times New Roman" w:hAnsi="Times New Roman" w:cs="Times New Roman"/>
    </w:rPr>
  </w:style>
  <w:style w:type="paragraph" w:styleId="14">
    <w:name w:val="footer"/>
    <w:basedOn w:val="1"/>
    <w:autoRedefine/>
    <w:semiHidden/>
    <w:unhideWhenUsed/>
    <w:qFormat/>
    <w:uiPriority w:val="99"/>
    <w:pPr>
      <w:tabs>
        <w:tab w:val="center" w:pos="4153"/>
        <w:tab w:val="right" w:pos="8306"/>
      </w:tabs>
      <w:snapToGrid w:val="0"/>
      <w:jc w:val="left"/>
    </w:pPr>
    <w:rPr>
      <w:sz w:val="18"/>
    </w:rPr>
  </w:style>
  <w:style w:type="paragraph" w:styleId="15">
    <w:name w:val="header"/>
    <w:basedOn w:val="1"/>
    <w:autoRedefine/>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6">
    <w:name w:val="Normal (Web)"/>
    <w:basedOn w:val="1"/>
    <w:next w:val="17"/>
    <w:autoRedefine/>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customStyle="1" w:styleId="17">
    <w:name w:val="*正文"/>
    <w:basedOn w:val="1"/>
    <w:qFormat/>
    <w:uiPriority w:val="0"/>
    <w:rPr>
      <w:rFonts w:ascii="宋体" w:hAnsi="宋体"/>
      <w:kern w:val="0"/>
      <w:szCs w:val="24"/>
    </w:rPr>
  </w:style>
  <w:style w:type="paragraph" w:styleId="18">
    <w:name w:val="Body Text First Indent"/>
    <w:basedOn w:val="10"/>
    <w:next w:val="19"/>
    <w:autoRedefine/>
    <w:unhideWhenUsed/>
    <w:qFormat/>
    <w:uiPriority w:val="99"/>
    <w:pPr>
      <w:ind w:firstLine="420" w:firstLineChars="100"/>
    </w:pPr>
  </w:style>
  <w:style w:type="paragraph" w:styleId="19">
    <w:name w:val="Body Text First Indent 2"/>
    <w:basedOn w:val="11"/>
    <w:autoRedefine/>
    <w:qFormat/>
    <w:uiPriority w:val="0"/>
    <w:pPr>
      <w:spacing w:after="120"/>
      <w:ind w:firstLine="420" w:firstLineChars="200"/>
    </w:pPr>
    <w:rPr>
      <w:rFonts w:ascii="Times New Roman" w:hAnsi="Times New Roman"/>
      <w:szCs w:val="20"/>
    </w:rPr>
  </w:style>
  <w:style w:type="table" w:styleId="21">
    <w:name w:val="Table Grid"/>
    <w:basedOn w:val="20"/>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3">
    <w:name w:val="Heading1"/>
    <w:basedOn w:val="1"/>
    <w:next w:val="1"/>
    <w:qFormat/>
    <w:uiPriority w:val="0"/>
    <w:pPr>
      <w:keepNext/>
      <w:keepLines/>
      <w:spacing w:before="340" w:after="330" w:line="576" w:lineRule="auto"/>
      <w:textAlignment w:val="baseline"/>
    </w:pPr>
    <w:rPr>
      <w:b/>
      <w:bCs/>
      <w:kern w:val="44"/>
      <w:sz w:val="44"/>
      <w:szCs w:val="44"/>
    </w:rPr>
  </w:style>
  <w:style w:type="paragraph" w:customStyle="1" w:styleId="24">
    <w:name w:val="Default"/>
    <w:autoRedefine/>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character" w:customStyle="1" w:styleId="25">
    <w:name w:val="标题 1 Char"/>
    <w:basedOn w:val="22"/>
    <w:link w:val="2"/>
    <w:autoRedefine/>
    <w:qFormat/>
    <w:uiPriority w:val="9"/>
    <w:rPr>
      <w:b/>
      <w:bCs/>
      <w:kern w:val="44"/>
      <w:sz w:val="44"/>
      <w:szCs w:val="44"/>
    </w:rPr>
  </w:style>
  <w:style w:type="character" w:customStyle="1" w:styleId="26">
    <w:name w:val="标题 2 Char"/>
    <w:basedOn w:val="22"/>
    <w:link w:val="3"/>
    <w:autoRedefine/>
    <w:qFormat/>
    <w:uiPriority w:val="9"/>
    <w:rPr>
      <w:rFonts w:asciiTheme="majorHAnsi" w:hAnsiTheme="majorHAnsi" w:eastAsiaTheme="majorEastAsia" w:cstheme="majorBidi"/>
      <w:b/>
      <w:bCs/>
      <w:sz w:val="32"/>
      <w:szCs w:val="32"/>
    </w:rPr>
  </w:style>
  <w:style w:type="character" w:customStyle="1" w:styleId="27">
    <w:name w:val="标题 3 Char"/>
    <w:basedOn w:val="22"/>
    <w:link w:val="4"/>
    <w:autoRedefine/>
    <w:qFormat/>
    <w:uiPriority w:val="9"/>
    <w:rPr>
      <w:b/>
      <w:bCs/>
      <w:sz w:val="32"/>
      <w:szCs w:val="32"/>
    </w:rPr>
  </w:style>
  <w:style w:type="character" w:customStyle="1" w:styleId="28">
    <w:name w:val="标题 4 Char"/>
    <w:basedOn w:val="22"/>
    <w:link w:val="5"/>
    <w:autoRedefine/>
    <w:qFormat/>
    <w:uiPriority w:val="9"/>
    <w:rPr>
      <w:rFonts w:asciiTheme="majorHAnsi" w:hAnsiTheme="majorHAnsi" w:eastAsiaTheme="majorEastAsia" w:cstheme="majorBidi"/>
      <w:b/>
      <w:bCs/>
      <w:sz w:val="28"/>
      <w:szCs w:val="28"/>
    </w:rPr>
  </w:style>
  <w:style w:type="character" w:customStyle="1" w:styleId="29">
    <w:name w:val="标题 5 Char"/>
    <w:basedOn w:val="22"/>
    <w:link w:val="6"/>
    <w:autoRedefine/>
    <w:qFormat/>
    <w:uiPriority w:val="9"/>
    <w:rPr>
      <w:b/>
      <w:bCs/>
      <w:sz w:val="28"/>
      <w:szCs w:val="28"/>
    </w:rPr>
  </w:style>
  <w:style w:type="character" w:customStyle="1" w:styleId="30">
    <w:name w:val="标题 6 Char"/>
    <w:basedOn w:val="22"/>
    <w:link w:val="7"/>
    <w:autoRedefine/>
    <w:qFormat/>
    <w:uiPriority w:val="9"/>
    <w:rPr>
      <w:rFonts w:asciiTheme="majorHAnsi" w:hAnsiTheme="majorHAnsi" w:eastAsiaTheme="majorEastAsia" w:cstheme="majorBidi"/>
      <w:b/>
      <w:bCs/>
      <w:sz w:val="24"/>
      <w:szCs w:val="24"/>
    </w:rPr>
  </w:style>
  <w:style w:type="character" w:customStyle="1" w:styleId="31">
    <w:name w:val="正文文本 Char"/>
    <w:basedOn w:val="22"/>
    <w:link w:val="10"/>
    <w:autoRedefine/>
    <w:qFormat/>
    <w:uiPriority w:val="0"/>
    <w:rPr>
      <w:rFonts w:ascii="Times New Roman" w:hAnsi="Times New Roman" w:eastAsia="宋体" w:cs="Times New Roman"/>
      <w:kern w:val="0"/>
      <w:sz w:val="24"/>
      <w:szCs w:val="24"/>
    </w:rPr>
  </w:style>
  <w:style w:type="character" w:customStyle="1" w:styleId="32">
    <w:name w:val="NormalCharacter"/>
    <w:autoRedefine/>
    <w:qFormat/>
    <w:uiPriority w:val="99"/>
  </w:style>
  <w:style w:type="character" w:customStyle="1" w:styleId="33">
    <w:name w:val="font21"/>
    <w:basedOn w:val="22"/>
    <w:autoRedefine/>
    <w:qFormat/>
    <w:uiPriority w:val="0"/>
    <w:rPr>
      <w:rFonts w:hint="eastAsia" w:ascii="宋体" w:hAnsi="宋体" w:eastAsia="宋体" w:cs="宋体"/>
      <w:color w:val="000000"/>
      <w:sz w:val="20"/>
      <w:szCs w:val="20"/>
      <w:u w:val="none"/>
    </w:rPr>
  </w:style>
  <w:style w:type="character" w:customStyle="1" w:styleId="34">
    <w:name w:val="font41"/>
    <w:basedOn w:val="22"/>
    <w:qFormat/>
    <w:uiPriority w:val="0"/>
    <w:rPr>
      <w:rFonts w:ascii="Arial" w:hAnsi="Arial" w:cs="Arial"/>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7</Pages>
  <Words>5013</Words>
  <Characters>5952</Characters>
  <Lines>39</Lines>
  <Paragraphs>10</Paragraphs>
  <TotalTime>5</TotalTime>
  <ScaleCrop>false</ScaleCrop>
  <LinksUpToDate>false</LinksUpToDate>
  <CharactersWithSpaces>6059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2022-09-21T10:57:00Z</dcterms:created>
  <dc:creator>微软用户</dc:creator>
  <cp:lastModifiedBy>Stella</cp:lastModifiedBy>
  <cp:lastPrinted>2025-09-15T00:20:00Z</cp:lastPrinted>
  <dcterms:modified xsi:type="dcterms:W3CDTF">2025-09-15T00:28:41Z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5F3B43D7E2D741A38991340ED9378569_13</vt:lpwstr>
  </property>
  <property fmtid="{D5CDD505-2E9C-101B-9397-08002B2CF9AE}" pid="4" name="KSOTemplateDocerSaveRecord">
    <vt:lpwstr>eyJoZGlkIjoiZTNlMmY5YjcxZTRkZjg5N2MyMWI3YzFkZTQ2OTdlZWQiLCJ1c2VySWQiOiI0NTEyNTg0MjYifQ==</vt:lpwstr>
  </property>
</Properties>
</file>